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5BAF8">
      <w:pPr>
        <w:jc w:val="center"/>
        <w:rPr>
          <w:rFonts w:hint="eastAsia" w:hAnsi="宋体"/>
          <w:b/>
          <w:bCs/>
          <w:color w:val="000000"/>
          <w:sz w:val="28"/>
          <w:szCs w:val="28"/>
          <w:lang w:val="en-US" w:eastAsia="zh-CN"/>
        </w:rPr>
      </w:pPr>
      <w:r>
        <w:rPr>
          <w:rFonts w:hint="eastAsia" w:hAnsi="宋体"/>
          <w:b/>
          <w:bCs/>
          <w:color w:val="000000"/>
          <w:sz w:val="28"/>
          <w:szCs w:val="28"/>
          <w:lang w:val="en-US" w:eastAsia="zh-CN"/>
        </w:rPr>
        <w:t>图书馆进口期刊供货服务项目要求及评分标准</w:t>
      </w:r>
    </w:p>
    <w:p w14:paraId="64F6228D">
      <w:pPr>
        <w:jc w:val="center"/>
        <w:rPr>
          <w:rFonts w:hint="eastAsia" w:hAnsi="宋体"/>
          <w:b/>
          <w:bCs/>
          <w:color w:val="000000"/>
          <w:sz w:val="28"/>
          <w:szCs w:val="28"/>
          <w:lang w:val="en-US" w:eastAsia="zh-CN"/>
        </w:rPr>
      </w:pPr>
    </w:p>
    <w:p w14:paraId="7D52F941">
      <w:pPr>
        <w:numPr>
          <w:ilvl w:val="0"/>
          <w:numId w:val="1"/>
        </w:numPr>
        <w:jc w:val="both"/>
        <w:rPr>
          <w:rFonts w:hint="eastAsia" w:hAnsi="宋体"/>
          <w:b/>
          <w:bCs/>
          <w:color w:val="000000"/>
          <w:sz w:val="28"/>
          <w:szCs w:val="28"/>
          <w:lang w:val="en-US" w:eastAsia="zh-CN"/>
        </w:rPr>
      </w:pPr>
      <w:r>
        <w:rPr>
          <w:rFonts w:hint="eastAsia" w:hAnsi="宋体"/>
          <w:b/>
          <w:bCs/>
          <w:color w:val="000000"/>
          <w:sz w:val="28"/>
          <w:szCs w:val="28"/>
          <w:lang w:val="en-US" w:eastAsia="zh-CN"/>
        </w:rPr>
        <w:t>项目要求概述</w:t>
      </w:r>
    </w:p>
    <w:p w14:paraId="5CA3430A">
      <w:pPr>
        <w:spacing w:line="360" w:lineRule="auto"/>
        <w:ind w:firstLine="480" w:firstLineChars="200"/>
        <w:rPr>
          <w:rFonts w:hint="default" w:hAnsi="宋体"/>
          <w:color w:val="000000"/>
          <w:sz w:val="24"/>
          <w:szCs w:val="24"/>
          <w:lang w:val="en-US" w:eastAsia="zh-CN"/>
        </w:rPr>
      </w:pPr>
      <w:r>
        <w:rPr>
          <w:rFonts w:hint="eastAsia" w:hAnsi="宋体"/>
          <w:color w:val="000000"/>
          <w:sz w:val="24"/>
          <w:szCs w:val="24"/>
          <w:lang w:val="en-US" w:eastAsia="zh-CN"/>
        </w:rPr>
        <w:t>2026年图书馆进口期刊供刊服务。报刊种类和数量详见附件2-图书馆进口期刊采购目录。</w:t>
      </w:r>
    </w:p>
    <w:p w14:paraId="510E5606">
      <w:pPr>
        <w:numPr>
          <w:ilvl w:val="0"/>
          <w:numId w:val="1"/>
        </w:numPr>
        <w:jc w:val="both"/>
        <w:rPr>
          <w:rFonts w:hint="eastAsia" w:hAnsi="宋体"/>
          <w:b/>
          <w:bCs/>
          <w:color w:val="000000"/>
          <w:sz w:val="28"/>
          <w:szCs w:val="28"/>
          <w:lang w:val="en-US" w:eastAsia="zh-CN"/>
        </w:rPr>
      </w:pPr>
      <w:r>
        <w:rPr>
          <w:rFonts w:hint="eastAsia" w:hAnsi="宋体"/>
          <w:b/>
          <w:bCs/>
          <w:color w:val="000000"/>
          <w:sz w:val="28"/>
          <w:szCs w:val="28"/>
          <w:lang w:val="en-US" w:eastAsia="zh-CN"/>
        </w:rPr>
        <w:t>服务要求</w:t>
      </w:r>
    </w:p>
    <w:p w14:paraId="3583F409">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1、所有期刊的品种及复本数量均由图书馆决定，供应商不得自行搭配和追加未经图书馆确认的期刊品种和复本数量，否则图书馆有权不予接受。</w:t>
      </w:r>
    </w:p>
    <w:p w14:paraId="4181D3C2">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2、供应商应保证出版物的内容、版本及进货来源合法，对所供应出版物的知识产权、进货来源负相应的法律责任和由此而产生的经济责任。</w:t>
      </w:r>
    </w:p>
    <w:p w14:paraId="67898D2D">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3、供应商应承担进口出版物内容审查的责任，提供符合我国《出版物进口备案管理办法》相关规定和要求的进口期刊。</w:t>
      </w:r>
    </w:p>
    <w:p w14:paraId="66B5A944">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4、供应商对图书馆报订的进口期刊应保证不低于99%的期刊品种订到率（若因进口期刊出版社原因不能订购除外），期刊年到刊率（全年实际到馆册数/全年应到册数）不得低于98%。除停刊、并刊、载体变化等情况外，对于图书馆已订购的品种必须全部提供（以年度订单为准）。</w:t>
      </w:r>
    </w:p>
    <w:p w14:paraId="18A62B35">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5、对期刊出版中发生刊名、内容改变或刊价大幅上升等情况的，供应商要提前向图书馆重新确认，否则图书馆有权不予接收。</w:t>
      </w:r>
    </w:p>
    <w:p w14:paraId="481BC35E">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6、进口期刊应在出版之日起2个月内到货，若超期到货，供应商应向图书馆提供延时说明，否则图书馆有权追究责任并要求赔偿。期刊配送每周1次。寒暑假按图书馆指定时间配送。</w:t>
      </w:r>
    </w:p>
    <w:p w14:paraId="4AB1541F">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7、供应商直接投送期刊到图书馆指定地点，包括五山校区、大学城校区、国际校区图书馆等。同时提供与每批期刊数量、品种、价格相符的详细电脑清单，以便于双方验收和避免出现漏刊、缺刊、错投的现象。</w:t>
      </w:r>
    </w:p>
    <w:p w14:paraId="7D7C32B5">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8、对于在供货过程中发生变动的期刊，无论是刊名、刊期或出版、发行的变化，供应商都必须及时通知图书馆，说明变动情况和原因。</w:t>
      </w:r>
    </w:p>
    <w:p w14:paraId="486FF110">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9、期刊到馆后发现任何质量问题、重订或者投递与图书馆所订品种、复本数量等不符的情况时，无论是否已作前期加工，供应商应全部无条件退换。</w:t>
      </w:r>
    </w:p>
    <w:p w14:paraId="05CB831C">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10、供应商应建有功能较完善、性能稳定的专业化期刊电子商务网站，应负责提供新刊编目数据。</w:t>
      </w:r>
    </w:p>
    <w:p w14:paraId="5E40AFE8">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11、对于订购了IP形式的期刊，供应商应通知图书馆并协助图书馆开通网络版使用权。图书馆所订的纸质期刊，如有相应的电子期刊的免费使用服务，供应商应及时通知图书馆，同时协助做好开通工作。</w:t>
      </w:r>
    </w:p>
    <w:p w14:paraId="51FFD1B6">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12、期刊因中途停刊、休刊、合刊等原因，供应商已经收取的费用，应按照图书馆的相关要求，全额或按照实际余额退还图书馆并附退款说明。</w:t>
      </w:r>
    </w:p>
    <w:p w14:paraId="1E704F8C">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13、对于未能按上述第6条约定期限到馆的期刊，图书馆向供应商发出催缺请求后，供应商应在1个工作日内响应，并做出有效反馈。供应商保证代表图书馆及时就期刊的缺期、缺份问题向国内外的出版机构查询交涉。对于过期未到的期刊，供应商必须在2个月内补齐。对于缺期的期刊，投标人应采取多种方式进行补救。若确定不能提供正版期刊，需退回相应正版期刊刊款。同时，若因补刊产生其他印刷等费用，可从原正版期刊刊款扣除。若由此引起版权问题，由供应商承担全部责任。</w:t>
      </w:r>
    </w:p>
    <w:p w14:paraId="62A1B20D">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14、合同终止后两年内，对图书馆已经订购但尚未到馆的期刊，供应商负有按图书馆要求继续供货的义务，图书馆负有继续接受的义务。截至合同终止后两年时，所有供货行为停止（若双方协商一致，可延续适当时间）。此时供应商须提供合同期内所有缺期期刊的清帐退款清单，由图书馆核对无误后，进行清帐退款工作。</w:t>
      </w:r>
    </w:p>
    <w:p w14:paraId="4E3D1835">
      <w:pPr>
        <w:spacing w:line="360" w:lineRule="auto"/>
        <w:ind w:firstLine="480" w:firstLineChars="200"/>
        <w:rPr>
          <w:rFonts w:hint="eastAsia" w:hAnsi="宋体"/>
          <w:color w:val="000000"/>
          <w:sz w:val="24"/>
          <w:szCs w:val="24"/>
          <w:lang w:val="en-US" w:eastAsia="zh-CN"/>
        </w:rPr>
      </w:pPr>
      <w:r>
        <w:rPr>
          <w:rFonts w:hint="eastAsia" w:hAnsi="宋体"/>
          <w:color w:val="000000"/>
          <w:sz w:val="24"/>
          <w:szCs w:val="24"/>
          <w:lang w:val="en-US" w:eastAsia="zh-CN"/>
        </w:rPr>
        <w:t>15、因电子刊没有包装、运输等成本，所以图书馆订单中的电子刊的价格浮动率应低于纸本刊的价格浮动率，且电子刊的价格浮动率不能超过106%。</w:t>
      </w:r>
    </w:p>
    <w:p w14:paraId="4E3C17AF">
      <w:pPr>
        <w:numPr>
          <w:ilvl w:val="0"/>
          <w:numId w:val="0"/>
        </w:numPr>
        <w:jc w:val="both"/>
        <w:rPr>
          <w:rFonts w:hint="eastAsia" w:ascii="Arial" w:hAnsi="Arial"/>
          <w:lang w:val="en-US" w:eastAsia="zh-CN"/>
        </w:rPr>
      </w:pPr>
    </w:p>
    <w:p w14:paraId="3A4B07F3">
      <w:pPr>
        <w:numPr>
          <w:ilvl w:val="0"/>
          <w:numId w:val="0"/>
        </w:numPr>
        <w:jc w:val="both"/>
        <w:rPr>
          <w:rFonts w:hint="eastAsia" w:ascii="Arial" w:hAnsi="Arial"/>
          <w:lang w:val="en-US" w:eastAsia="zh-CN"/>
        </w:rPr>
      </w:pPr>
    </w:p>
    <w:p w14:paraId="2882B2E9">
      <w:pPr>
        <w:numPr>
          <w:ilvl w:val="0"/>
          <w:numId w:val="1"/>
        </w:numPr>
        <w:jc w:val="both"/>
        <w:rPr>
          <w:rFonts w:hint="eastAsia" w:hAnsi="宋体"/>
          <w:b/>
          <w:bCs/>
          <w:color w:val="000000"/>
          <w:sz w:val="28"/>
          <w:szCs w:val="28"/>
          <w:lang w:val="en-US" w:eastAsia="zh-CN"/>
        </w:rPr>
      </w:pPr>
      <w:r>
        <w:rPr>
          <w:rFonts w:hint="eastAsia" w:hAnsi="宋体"/>
          <w:b/>
          <w:bCs/>
          <w:color w:val="000000"/>
          <w:sz w:val="28"/>
          <w:szCs w:val="28"/>
          <w:lang w:val="en-US" w:eastAsia="zh-CN"/>
        </w:rPr>
        <w:t>商务要求</w:t>
      </w:r>
    </w:p>
    <w:p w14:paraId="04E1BD75">
      <w:pPr>
        <w:numPr>
          <w:ilvl w:val="0"/>
          <w:numId w:val="2"/>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报价要求</w:t>
      </w:r>
    </w:p>
    <w:p w14:paraId="1F1C3B18">
      <w:pPr>
        <w:spacing w:line="360" w:lineRule="auto"/>
        <w:ind w:firstLine="480" w:firstLineChars="200"/>
        <w:jc w:val="left"/>
        <w:rPr>
          <w:sz w:val="24"/>
          <w:szCs w:val="24"/>
        </w:rPr>
      </w:pPr>
      <w:r>
        <w:rPr>
          <w:rFonts w:hint="eastAsia"/>
          <w:sz w:val="24"/>
          <w:szCs w:val="24"/>
          <w:lang w:val="en-GB"/>
        </w:rPr>
        <w:t>（1）本项目报价采用报</w:t>
      </w:r>
      <w:r>
        <w:rPr>
          <w:rFonts w:hint="eastAsia"/>
          <w:sz w:val="24"/>
          <w:szCs w:val="24"/>
          <w:lang w:val="en-GB" w:eastAsia="zh-CN"/>
        </w:rPr>
        <w:t>价格浮动率</w:t>
      </w:r>
      <w:r>
        <w:rPr>
          <w:rFonts w:hint="eastAsia"/>
          <w:sz w:val="24"/>
          <w:szCs w:val="24"/>
          <w:lang w:val="en-GB"/>
        </w:rPr>
        <w:t>的方式进行，需分别报出</w:t>
      </w:r>
      <w:r>
        <w:rPr>
          <w:rFonts w:hint="eastAsia"/>
          <w:sz w:val="24"/>
          <w:szCs w:val="24"/>
          <w:lang w:val="en-GB" w:eastAsia="zh-CN"/>
        </w:rPr>
        <w:t>纸本刊</w:t>
      </w:r>
      <w:r>
        <w:rPr>
          <w:rFonts w:hint="eastAsia"/>
          <w:sz w:val="24"/>
          <w:szCs w:val="24"/>
          <w:lang w:val="en-GB"/>
        </w:rPr>
        <w:t>与</w:t>
      </w:r>
      <w:r>
        <w:rPr>
          <w:rFonts w:hint="eastAsia"/>
          <w:sz w:val="24"/>
          <w:szCs w:val="24"/>
          <w:lang w:val="en-GB" w:eastAsia="zh-CN"/>
        </w:rPr>
        <w:t>电子刊</w:t>
      </w:r>
      <w:r>
        <w:rPr>
          <w:rFonts w:hint="eastAsia"/>
          <w:sz w:val="24"/>
          <w:szCs w:val="24"/>
          <w:lang w:val="en-GB"/>
        </w:rPr>
        <w:t>的</w:t>
      </w:r>
      <w:r>
        <w:rPr>
          <w:rFonts w:hint="eastAsia"/>
          <w:sz w:val="24"/>
          <w:szCs w:val="24"/>
          <w:lang w:val="en-GB" w:eastAsia="zh-CN"/>
        </w:rPr>
        <w:t>价格浮动率</w:t>
      </w:r>
      <w:r>
        <w:rPr>
          <w:rFonts w:hint="eastAsia"/>
          <w:sz w:val="24"/>
          <w:szCs w:val="24"/>
          <w:lang w:val="en-GB"/>
        </w:rPr>
        <w:t>，</w:t>
      </w:r>
      <w:r>
        <w:rPr>
          <w:rFonts w:hint="eastAsia"/>
          <w:sz w:val="24"/>
          <w:szCs w:val="24"/>
          <w:lang w:val="en-GB" w:eastAsia="zh-CN"/>
        </w:rPr>
        <w:t>价格浮动率</w:t>
      </w:r>
      <w:r>
        <w:rPr>
          <w:rFonts w:hint="eastAsia"/>
          <w:sz w:val="24"/>
          <w:szCs w:val="24"/>
          <w:lang w:val="en-GB"/>
        </w:rPr>
        <w:t>作为评审时价格得分的评审依据以及最终费用结算的依据。</w:t>
      </w:r>
    </w:p>
    <w:p w14:paraId="5AB026D3">
      <w:pPr>
        <w:spacing w:line="360" w:lineRule="auto"/>
        <w:ind w:firstLine="480" w:firstLineChars="200"/>
        <w:jc w:val="left"/>
        <w:rPr>
          <w:rFonts w:hint="eastAsia"/>
          <w:sz w:val="24"/>
          <w:szCs w:val="24"/>
          <w:lang w:val="en-US" w:eastAsia="zh-CN"/>
        </w:rPr>
      </w:pPr>
      <w:r>
        <w:rPr>
          <w:rFonts w:hint="eastAsia"/>
          <w:sz w:val="24"/>
          <w:szCs w:val="24"/>
          <w:lang w:val="en-GB"/>
        </w:rPr>
        <w:t>（2）</w:t>
      </w:r>
      <w:r>
        <w:rPr>
          <w:rFonts w:hint="eastAsia"/>
          <w:sz w:val="24"/>
          <w:szCs w:val="24"/>
        </w:rPr>
        <w:t>报价应包含完成本次采购项目</w:t>
      </w:r>
      <w:r>
        <w:rPr>
          <w:rFonts w:ascii="Arial" w:hAnsi="Arial"/>
          <w:sz w:val="24"/>
          <w:szCs w:val="24"/>
        </w:rPr>
        <w:t>所有</w:t>
      </w:r>
      <w:r>
        <w:rPr>
          <w:rFonts w:hint="eastAsia" w:ascii="Arial" w:hAnsi="Arial"/>
          <w:sz w:val="24"/>
          <w:szCs w:val="24"/>
          <w:lang w:eastAsia="zh-CN"/>
        </w:rPr>
        <w:t>进口期刊</w:t>
      </w:r>
      <w:r>
        <w:rPr>
          <w:rFonts w:ascii="Arial" w:hAnsi="Arial"/>
          <w:sz w:val="24"/>
          <w:szCs w:val="24"/>
        </w:rPr>
        <w:t>的采购、包装、税费、运输、保险以及MARC数据</w:t>
      </w:r>
      <w:r>
        <w:rPr>
          <w:rFonts w:hint="eastAsia" w:ascii="Arial" w:hAnsi="Arial"/>
          <w:sz w:val="24"/>
          <w:szCs w:val="24"/>
        </w:rPr>
        <w:t>等</w:t>
      </w:r>
      <w:r>
        <w:rPr>
          <w:rFonts w:ascii="Arial" w:hAnsi="Arial"/>
          <w:sz w:val="24"/>
          <w:szCs w:val="24"/>
        </w:rPr>
        <w:t>全部费用</w:t>
      </w:r>
      <w:r>
        <w:rPr>
          <w:rFonts w:hint="eastAsia"/>
          <w:sz w:val="24"/>
          <w:szCs w:val="24"/>
        </w:rPr>
        <w:t>。</w:t>
      </w:r>
    </w:p>
    <w:p w14:paraId="5D37A482">
      <w:pPr>
        <w:numPr>
          <w:ilvl w:val="0"/>
          <w:numId w:val="2"/>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结算价格</w:t>
      </w:r>
    </w:p>
    <w:p w14:paraId="714193F9">
      <w:pPr>
        <w:spacing w:line="360" w:lineRule="auto"/>
        <w:ind w:firstLine="480" w:firstLineChars="200"/>
        <w:jc w:val="left"/>
        <w:rPr>
          <w:rFonts w:hint="eastAsia"/>
          <w:sz w:val="24"/>
          <w:szCs w:val="24"/>
          <w:lang w:val="en-GB" w:eastAsia="zh-CN"/>
        </w:rPr>
      </w:pPr>
      <w:r>
        <w:rPr>
          <w:rFonts w:hint="eastAsia"/>
          <w:sz w:val="24"/>
          <w:szCs w:val="24"/>
          <w:lang w:val="en-GB"/>
        </w:rPr>
        <w:t>结算价格（实洋）=期刊单价×当时汇率×价格浮动率</w:t>
      </w:r>
    </w:p>
    <w:p w14:paraId="158BA5F5">
      <w:pPr>
        <w:spacing w:line="360" w:lineRule="auto"/>
        <w:ind w:firstLine="480" w:firstLineChars="200"/>
        <w:jc w:val="left"/>
        <w:rPr>
          <w:rFonts w:hint="eastAsia"/>
          <w:sz w:val="24"/>
          <w:szCs w:val="24"/>
          <w:lang w:val="en-US" w:eastAsia="zh-CN"/>
        </w:rPr>
      </w:pPr>
      <w:r>
        <w:rPr>
          <w:rFonts w:hint="eastAsia"/>
          <w:sz w:val="24"/>
          <w:szCs w:val="24"/>
          <w:lang w:val="en-US" w:eastAsia="zh-CN"/>
        </w:rPr>
        <w:t>备注：（1）期刊单价以出版社报价为准。</w:t>
      </w:r>
    </w:p>
    <w:p w14:paraId="16EFBD91">
      <w:pPr>
        <w:spacing w:line="360" w:lineRule="auto"/>
        <w:ind w:firstLine="480" w:firstLineChars="200"/>
        <w:jc w:val="left"/>
        <w:rPr>
          <w:rFonts w:hint="eastAsia"/>
          <w:sz w:val="24"/>
          <w:szCs w:val="24"/>
          <w:lang w:val="en-US" w:eastAsia="zh-CN"/>
        </w:rPr>
      </w:pPr>
      <w:r>
        <w:rPr>
          <w:rFonts w:hint="eastAsia"/>
          <w:sz w:val="24"/>
          <w:szCs w:val="24"/>
          <w:lang w:val="en-US" w:eastAsia="zh-CN"/>
        </w:rPr>
        <w:t>（2）当时汇率是图书馆向供应商确定订单当日中国银行公布的“远期结售汇牌价”中一个月远期外币卖出价。</w:t>
      </w:r>
    </w:p>
    <w:p w14:paraId="6C384183">
      <w:pPr>
        <w:numPr>
          <w:ilvl w:val="0"/>
          <w:numId w:val="2"/>
        </w:numPr>
        <w:spacing w:line="360" w:lineRule="auto"/>
        <w:jc w:val="both"/>
        <w:rPr>
          <w:rFonts w:hint="eastAsia" w:hAnsi="宋体"/>
          <w:b/>
          <w:bCs/>
          <w:color w:val="000000"/>
          <w:sz w:val="24"/>
          <w:szCs w:val="24"/>
          <w:lang w:val="en-US" w:eastAsia="zh-CN"/>
        </w:rPr>
      </w:pPr>
      <w:r>
        <w:rPr>
          <w:rFonts w:hint="eastAsia" w:hAnsi="宋体"/>
          <w:b/>
          <w:bCs/>
          <w:color w:val="000000"/>
          <w:sz w:val="24"/>
          <w:szCs w:val="24"/>
          <w:lang w:val="en-US" w:eastAsia="zh-CN"/>
        </w:rPr>
        <w:t>付款方式</w:t>
      </w:r>
    </w:p>
    <w:p w14:paraId="54739992">
      <w:pPr>
        <w:spacing w:line="360" w:lineRule="auto"/>
        <w:ind w:firstLine="480" w:firstLineChars="200"/>
        <w:jc w:val="left"/>
        <w:rPr>
          <w:rFonts w:hint="eastAsia"/>
          <w:sz w:val="24"/>
          <w:szCs w:val="24"/>
          <w:lang w:val="en-GB"/>
        </w:rPr>
      </w:pPr>
      <w:r>
        <w:rPr>
          <w:rFonts w:hint="eastAsia"/>
          <w:sz w:val="24"/>
          <w:szCs w:val="24"/>
          <w:lang w:val="en-GB" w:eastAsia="zh-CN"/>
        </w:rPr>
        <w:t>图书馆</w:t>
      </w:r>
      <w:r>
        <w:rPr>
          <w:rFonts w:hint="eastAsia"/>
          <w:sz w:val="24"/>
          <w:szCs w:val="24"/>
          <w:lang w:val="en-GB"/>
        </w:rPr>
        <w:t>在双方签订合同、确认订单后60个工作日内一次性付款。供应商需提供国家税务部门监制的正式发票。</w:t>
      </w:r>
    </w:p>
    <w:p w14:paraId="0EC5719D">
      <w:pPr>
        <w:numPr>
          <w:ilvl w:val="0"/>
          <w:numId w:val="2"/>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服务地点</w:t>
      </w:r>
    </w:p>
    <w:p w14:paraId="0B747A59">
      <w:pPr>
        <w:pStyle w:val="3"/>
        <w:numPr>
          <w:ilvl w:val="0"/>
          <w:numId w:val="0"/>
        </w:numPr>
        <w:tabs>
          <w:tab w:val="left" w:pos="721"/>
        </w:tabs>
        <w:snapToGrid w:val="0"/>
        <w:spacing w:line="300" w:lineRule="auto"/>
        <w:ind w:leftChars="0"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交付期刊地点：</w:t>
      </w:r>
    </w:p>
    <w:p w14:paraId="74FF87E7">
      <w:pPr>
        <w:pStyle w:val="3"/>
        <w:tabs>
          <w:tab w:val="left" w:pos="721"/>
        </w:tabs>
        <w:snapToGrid w:val="0"/>
        <w:spacing w:line="30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① 华南理工大学图书馆1楼期刊室</w:t>
      </w:r>
    </w:p>
    <w:p w14:paraId="2F3B99A2">
      <w:pPr>
        <w:pStyle w:val="3"/>
        <w:tabs>
          <w:tab w:val="left" w:pos="721"/>
        </w:tabs>
        <w:snapToGrid w:val="0"/>
        <w:spacing w:line="30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② 华南理工大学大学城校区图书馆5楼期刊阅览室</w:t>
      </w:r>
    </w:p>
    <w:p w14:paraId="640ED83E">
      <w:pPr>
        <w:pStyle w:val="3"/>
        <w:tabs>
          <w:tab w:val="left" w:pos="721"/>
        </w:tabs>
        <w:snapToGrid w:val="0"/>
        <w:spacing w:line="30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fldChar w:fldCharType="begin"/>
      </w:r>
      <w:r>
        <w:rPr>
          <w:rFonts w:hint="eastAsia" w:asciiTheme="minorHAnsi" w:hAnsiTheme="minorHAnsi" w:eastAsiaTheme="minorEastAsia" w:cstheme="minorBidi"/>
          <w:kern w:val="2"/>
          <w:sz w:val="24"/>
          <w:szCs w:val="24"/>
          <w:lang w:val="en-US" w:eastAsia="zh-CN" w:bidi="ar-SA"/>
        </w:rPr>
        <w:instrText xml:space="preserve"> = 3 \* GB3 \* MERGEFORMAT </w:instrText>
      </w:r>
      <w:r>
        <w:rPr>
          <w:rFonts w:hint="eastAsia" w:asciiTheme="minorHAnsi" w:hAnsiTheme="minorHAnsi" w:eastAsiaTheme="minorEastAsia" w:cstheme="minorBidi"/>
          <w:kern w:val="2"/>
          <w:sz w:val="24"/>
          <w:szCs w:val="24"/>
          <w:lang w:val="en-US" w:eastAsia="zh-CN" w:bidi="ar-SA"/>
        </w:rPr>
        <w:fldChar w:fldCharType="separate"/>
      </w:r>
      <w:r>
        <w:rPr>
          <w:rFonts w:hint="eastAsia" w:asciiTheme="minorHAnsi" w:hAnsiTheme="minorHAnsi" w:eastAsiaTheme="minorEastAsia" w:cstheme="minorBidi"/>
          <w:kern w:val="2"/>
          <w:sz w:val="24"/>
          <w:szCs w:val="24"/>
          <w:lang w:val="en-US" w:eastAsia="zh-CN" w:bidi="ar-SA"/>
        </w:rPr>
        <w:t>③</w:t>
      </w:r>
      <w:r>
        <w:rPr>
          <w:rFonts w:hint="eastAsia" w:asciiTheme="minorHAnsi" w:hAnsiTheme="minorHAnsi" w:eastAsiaTheme="minorEastAsia" w:cstheme="minorBidi"/>
          <w:kern w:val="2"/>
          <w:sz w:val="24"/>
          <w:szCs w:val="24"/>
          <w:lang w:val="en-US" w:eastAsia="zh-CN" w:bidi="ar-SA"/>
        </w:rPr>
        <w:fldChar w:fldCharType="end"/>
      </w:r>
      <w:r>
        <w:rPr>
          <w:rFonts w:hint="eastAsia" w:asciiTheme="minorHAnsi" w:hAnsiTheme="minorHAnsi" w:eastAsiaTheme="minorEastAsia" w:cstheme="minorBidi"/>
          <w:kern w:val="2"/>
          <w:sz w:val="24"/>
          <w:szCs w:val="24"/>
          <w:lang w:val="en-US" w:eastAsia="zh-CN" w:bidi="ar-SA"/>
        </w:rPr>
        <w:t xml:space="preserve"> 华南理工大学广州国际校区图书馆期刊室</w:t>
      </w:r>
    </w:p>
    <w:p w14:paraId="2C3412C0">
      <w:pPr>
        <w:numPr>
          <w:ilvl w:val="0"/>
          <w:numId w:val="2"/>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服务时间</w:t>
      </w:r>
    </w:p>
    <w:p w14:paraId="007E1E10">
      <w:pPr>
        <w:spacing w:line="360" w:lineRule="auto"/>
        <w:ind w:firstLine="480" w:firstLineChars="200"/>
        <w:jc w:val="left"/>
        <w:rPr>
          <w:rFonts w:hint="default"/>
          <w:sz w:val="24"/>
          <w:szCs w:val="24"/>
          <w:lang w:val="en-US" w:eastAsia="zh-CN"/>
        </w:rPr>
      </w:pPr>
      <w:r>
        <w:rPr>
          <w:rFonts w:hint="eastAsia"/>
          <w:sz w:val="24"/>
          <w:szCs w:val="24"/>
          <w:lang w:val="en-US" w:eastAsia="zh-CN"/>
        </w:rPr>
        <w:t>自合同签订之日起至供货服务完成、清账结束时止。</w:t>
      </w:r>
    </w:p>
    <w:p w14:paraId="2C6D7CD9">
      <w:pPr>
        <w:numPr>
          <w:ilvl w:val="0"/>
          <w:numId w:val="2"/>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合同模式</w:t>
      </w:r>
    </w:p>
    <w:p w14:paraId="4022C88B">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本项目采取1+1+1模式。图书馆在发布中选公告后15个工作日内与中选供应商签订2026年进口期刊供货服务合同。合同期满后，由图书馆参照考核标准（详见附件3：报刊供货服务评价表）做出评价，得分为优者，图书馆和中选供应商可续签2027、2028年进口期刊供货服务合同。图书馆若有新的服务要求，双方可通过协商，签订补充协议。若评价得分低于优者，则成交期限结束，合同终止。</w:t>
      </w:r>
    </w:p>
    <w:p w14:paraId="236F1424">
      <w:pPr>
        <w:numPr>
          <w:ilvl w:val="0"/>
          <w:numId w:val="2"/>
        </w:numPr>
        <w:spacing w:line="360" w:lineRule="auto"/>
        <w:jc w:val="both"/>
        <w:rPr>
          <w:rFonts w:hint="default" w:hAnsi="宋体"/>
          <w:b/>
          <w:bCs/>
          <w:color w:val="000000"/>
          <w:sz w:val="24"/>
          <w:szCs w:val="24"/>
          <w:lang w:val="en-US" w:eastAsia="zh-CN"/>
        </w:rPr>
      </w:pPr>
      <w:r>
        <w:rPr>
          <w:rFonts w:hint="eastAsia" w:hAnsi="宋体"/>
          <w:b/>
          <w:bCs/>
          <w:color w:val="000000"/>
          <w:sz w:val="24"/>
          <w:szCs w:val="24"/>
          <w:lang w:val="en-US" w:eastAsia="zh-CN"/>
        </w:rPr>
        <w:t>合同期间违约责任</w:t>
      </w:r>
    </w:p>
    <w:p w14:paraId="27869F65">
      <w:pPr>
        <w:spacing w:line="360" w:lineRule="auto"/>
        <w:ind w:firstLine="480" w:firstLineChars="200"/>
        <w:jc w:val="left"/>
        <w:rPr>
          <w:rFonts w:hint="eastAsia"/>
          <w:sz w:val="24"/>
          <w:szCs w:val="24"/>
          <w:lang w:val="en-US" w:eastAsia="zh-CN"/>
        </w:rPr>
      </w:pPr>
      <w:r>
        <w:rPr>
          <w:rFonts w:hint="eastAsia"/>
          <w:sz w:val="24"/>
          <w:szCs w:val="24"/>
          <w:lang w:val="en-US" w:eastAsia="zh-CN"/>
        </w:rPr>
        <w:t>（1）若供应商提供非正版期刊，则供应商须支付相应正版期刊外币价十倍的违约金，该违约金从履约保证金中扣除，由此造成的图书馆的一切损失由供应商承担。若供应商提供未经审读通过的违法违规出版物，供应商需承担由此引起的全部责任并赔偿因此给图书馆造成的损失。图书馆可据此无条件终止本合同。</w:t>
      </w:r>
    </w:p>
    <w:p w14:paraId="23F9D49D">
      <w:pPr>
        <w:spacing w:line="360" w:lineRule="auto"/>
        <w:ind w:firstLine="480" w:firstLineChars="200"/>
        <w:jc w:val="left"/>
        <w:rPr>
          <w:rFonts w:hint="eastAsia"/>
          <w:sz w:val="24"/>
          <w:szCs w:val="24"/>
          <w:lang w:val="en-US" w:eastAsia="zh-CN"/>
        </w:rPr>
      </w:pPr>
      <w:r>
        <w:rPr>
          <w:rFonts w:hint="eastAsia"/>
          <w:sz w:val="24"/>
          <w:szCs w:val="24"/>
          <w:lang w:val="en-US" w:eastAsia="zh-CN"/>
        </w:rPr>
        <w:t>（2）若供应商的期刊订到率低于99%，则视为供应商资质有瑕疵，在合同期末会对其做出差评（因不可抗力造成订到率低于承诺者除外）。</w:t>
      </w:r>
    </w:p>
    <w:p w14:paraId="69269704">
      <w:pPr>
        <w:spacing w:line="360" w:lineRule="auto"/>
        <w:ind w:firstLine="480" w:firstLineChars="200"/>
        <w:jc w:val="left"/>
        <w:rPr>
          <w:rFonts w:hint="eastAsia"/>
          <w:sz w:val="24"/>
          <w:szCs w:val="24"/>
          <w:lang w:val="en-US" w:eastAsia="zh-CN"/>
        </w:rPr>
      </w:pPr>
      <w:r>
        <w:rPr>
          <w:rFonts w:hint="eastAsia"/>
          <w:sz w:val="24"/>
          <w:szCs w:val="24"/>
          <w:lang w:val="en-US" w:eastAsia="zh-CN"/>
        </w:rPr>
        <w:t>（3）若供应商提供期刊的年到刊率低于98%（供应商能提供出版社尚未出版证明的不计入未到期刊），则视为违约，供应商需按未到期刊码洋（外币价×当时汇率）的20%支付违约金，违约金从履约保证金中扣除。且图书馆可据此无条件终止本合同，由此产生的一切后果由供应商承担。若年到刊率低于90%，图书馆有权终止合同，且供应商向图书馆支付违约金。（因不可抗力造成年到刊率低于承诺者除外）</w:t>
      </w:r>
    </w:p>
    <w:p w14:paraId="02FB1757">
      <w:pPr>
        <w:spacing w:line="360" w:lineRule="auto"/>
        <w:ind w:firstLine="480" w:firstLineChars="200"/>
        <w:jc w:val="left"/>
        <w:rPr>
          <w:rFonts w:hint="eastAsia"/>
          <w:sz w:val="24"/>
          <w:szCs w:val="24"/>
          <w:lang w:val="en-US" w:eastAsia="zh-CN"/>
        </w:rPr>
      </w:pPr>
      <w:r>
        <w:rPr>
          <w:rFonts w:hint="eastAsia"/>
          <w:sz w:val="24"/>
          <w:szCs w:val="24"/>
          <w:lang w:val="en-US" w:eastAsia="zh-CN"/>
        </w:rPr>
        <w:t>（4）若供应商未能按照服务要求第6条的约定按时向图书馆供货，则供应商应向图书馆支付违约金，违约金额为该未按时到馆期刊码洋（外币价×当时汇率）的40%，违约金从履约保证金中扣除。若因出版社延期出版等非供应商原因而未按4.6条的约定供货的，供货期可依实际出版时间延长，供应商无需支付违约金。合同结束后两年内供应商仍未能供货的，图书馆取消订购，供应商需退还相关费用给图书馆。</w:t>
      </w:r>
    </w:p>
    <w:p w14:paraId="3B110DAF">
      <w:pPr>
        <w:spacing w:line="360" w:lineRule="auto"/>
        <w:ind w:firstLine="480" w:firstLineChars="200"/>
        <w:jc w:val="left"/>
        <w:rPr>
          <w:rFonts w:hint="eastAsia"/>
          <w:sz w:val="24"/>
          <w:szCs w:val="24"/>
          <w:lang w:val="en-US" w:eastAsia="zh-CN"/>
        </w:rPr>
      </w:pPr>
      <w:r>
        <w:rPr>
          <w:rFonts w:hint="eastAsia"/>
          <w:sz w:val="24"/>
          <w:szCs w:val="24"/>
          <w:lang w:val="en-US" w:eastAsia="zh-CN"/>
        </w:rPr>
        <w:t>（5）若有其他违约行为，则在合同期末进行供货和服务评价时，会对供应商做出差评。</w:t>
      </w:r>
    </w:p>
    <w:p w14:paraId="6177DD0A">
      <w:pPr>
        <w:numPr>
          <w:ilvl w:val="0"/>
          <w:numId w:val="2"/>
        </w:numPr>
        <w:spacing w:line="360" w:lineRule="auto"/>
        <w:jc w:val="both"/>
        <w:rPr>
          <w:rFonts w:hint="default" w:hAnsi="宋体"/>
          <w:b/>
          <w:bCs/>
          <w:color w:val="auto"/>
          <w:sz w:val="24"/>
          <w:szCs w:val="24"/>
          <w:lang w:val="en-US" w:eastAsia="zh-CN"/>
        </w:rPr>
      </w:pPr>
      <w:r>
        <w:rPr>
          <w:rFonts w:hint="eastAsia" w:hAnsi="宋体"/>
          <w:b/>
          <w:bCs/>
          <w:color w:val="auto"/>
          <w:sz w:val="24"/>
          <w:szCs w:val="24"/>
          <w:lang w:val="en-US" w:eastAsia="zh-CN"/>
        </w:rPr>
        <w:t>履约保证金</w:t>
      </w:r>
    </w:p>
    <w:p w14:paraId="51A280D0">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（1）履约保证金金额：成交金额的10%。</w:t>
      </w:r>
    </w:p>
    <w:p w14:paraId="295CC756">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（2）履约保证金递交时间：中选供应商在收到成交通知书后10个工作日内。</w:t>
      </w:r>
    </w:p>
    <w:p w14:paraId="1F188541">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（3）履约保证金递交方式（可自行选择）：银行转账、支票、汇票、本票或金融机构、担保机构出具的保函等非现金形式。</w:t>
      </w:r>
    </w:p>
    <w:p w14:paraId="39C34737">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（4）履约保证金退还时间及规定：经图书馆确认合同期内未出现违约现象，则在合同期满6个月内退还履约金保证金（履约金不含利息）。</w:t>
      </w:r>
    </w:p>
    <w:p w14:paraId="7E773720">
      <w:pPr>
        <w:spacing w:line="360" w:lineRule="auto"/>
        <w:ind w:firstLine="480" w:firstLineChars="200"/>
        <w:jc w:val="left"/>
        <w:rPr>
          <w:rFonts w:hint="default"/>
          <w:color w:val="auto"/>
          <w:sz w:val="24"/>
          <w:szCs w:val="24"/>
          <w:lang w:val="en-US" w:eastAsia="zh-CN"/>
        </w:rPr>
      </w:pPr>
      <w:r>
        <w:rPr>
          <w:rFonts w:hint="eastAsia"/>
          <w:color w:val="auto"/>
          <w:sz w:val="24"/>
          <w:szCs w:val="24"/>
          <w:lang w:val="en-US" w:eastAsia="zh-CN"/>
        </w:rPr>
        <w:t>（5）中选供应商违反合同及其附件约定的任何义务，图书馆有权在履约保证金中直接扣除中选供应商应向图书馆支付的违约金或损失赔偿额，如有不足的，中选供应商应对超过的部分予以赔偿。</w:t>
      </w:r>
    </w:p>
    <w:p w14:paraId="46769890">
      <w:pPr>
        <w:numPr>
          <w:ilvl w:val="0"/>
          <w:numId w:val="1"/>
        </w:numPr>
        <w:jc w:val="both"/>
        <w:rPr>
          <w:rFonts w:hint="eastAsia" w:hAnsi="宋体"/>
          <w:b/>
          <w:bCs/>
          <w:color w:val="000000"/>
          <w:sz w:val="28"/>
          <w:szCs w:val="28"/>
          <w:lang w:val="en-US" w:eastAsia="zh-CN"/>
        </w:rPr>
      </w:pPr>
      <w:r>
        <w:rPr>
          <w:rFonts w:hint="eastAsia" w:hAnsi="宋体"/>
          <w:b/>
          <w:bCs/>
          <w:color w:val="000000"/>
          <w:sz w:val="28"/>
          <w:szCs w:val="28"/>
          <w:lang w:val="en-US" w:eastAsia="zh-CN"/>
        </w:rPr>
        <w:t>其他补充说明</w:t>
      </w:r>
    </w:p>
    <w:p w14:paraId="319DA0F1">
      <w:pPr>
        <w:spacing w:line="360" w:lineRule="auto"/>
        <w:ind w:firstLine="480" w:firstLineChars="200"/>
        <w:rPr>
          <w:rFonts w:hint="eastAsia" w:hAnsi="宋体"/>
          <w:color w:val="000000"/>
          <w:sz w:val="24"/>
          <w:szCs w:val="24"/>
        </w:rPr>
      </w:pPr>
      <w:r>
        <w:rPr>
          <w:rFonts w:hint="eastAsia" w:hAnsi="宋体"/>
          <w:color w:val="000000"/>
          <w:sz w:val="24"/>
          <w:szCs w:val="24"/>
          <w:lang w:eastAsia="zh-CN"/>
        </w:rPr>
        <w:t>要求应选单位提供</w:t>
      </w:r>
      <w:r>
        <w:rPr>
          <w:rFonts w:hint="eastAsia" w:hAnsi="宋体"/>
          <w:color w:val="000000"/>
          <w:sz w:val="24"/>
          <w:szCs w:val="24"/>
        </w:rPr>
        <w:t>资质文</w:t>
      </w:r>
      <w:r>
        <w:rPr>
          <w:rFonts w:hint="eastAsia" w:hAnsi="宋体"/>
          <w:color w:val="auto"/>
          <w:sz w:val="24"/>
          <w:szCs w:val="24"/>
        </w:rPr>
        <w:t>件（含</w:t>
      </w:r>
      <w:r>
        <w:rPr>
          <w:rFonts w:hint="eastAsia" w:hAnsi="宋体"/>
          <w:color w:val="auto"/>
          <w:sz w:val="24"/>
          <w:szCs w:val="24"/>
          <w:lang w:eastAsia="zh-CN"/>
        </w:rPr>
        <w:t>出版物经营许可证</w:t>
      </w:r>
      <w:r>
        <w:rPr>
          <w:rFonts w:hint="eastAsia" w:hAnsi="宋体"/>
          <w:color w:val="auto"/>
          <w:sz w:val="24"/>
          <w:szCs w:val="24"/>
        </w:rPr>
        <w:t>、</w:t>
      </w:r>
      <w:r>
        <w:rPr>
          <w:rFonts w:hint="eastAsia"/>
          <w:sz w:val="24"/>
          <w:szCs w:val="24"/>
          <w:lang w:val="en-US" w:eastAsia="zh-CN"/>
        </w:rPr>
        <w:t>出版物进口经营许可证、</w:t>
      </w:r>
      <w:r>
        <w:rPr>
          <w:rFonts w:hint="eastAsia" w:hAnsi="宋体"/>
          <w:color w:val="auto"/>
          <w:sz w:val="24"/>
          <w:szCs w:val="24"/>
          <w:lang w:eastAsia="zh-CN"/>
        </w:rPr>
        <w:t>出版社合作证明、</w:t>
      </w:r>
      <w:r>
        <w:rPr>
          <w:rFonts w:hint="eastAsia" w:hAnsi="宋体"/>
          <w:color w:val="auto"/>
          <w:sz w:val="24"/>
          <w:szCs w:val="24"/>
        </w:rPr>
        <w:t>同类业绩、</w:t>
      </w:r>
      <w:r>
        <w:rPr>
          <w:rFonts w:hint="eastAsia" w:hAnsi="宋体"/>
          <w:color w:val="auto"/>
          <w:sz w:val="24"/>
          <w:szCs w:val="24"/>
          <w:lang w:eastAsia="zh-CN"/>
        </w:rPr>
        <w:t>用户评价、物流证明、</w:t>
      </w:r>
      <w:r>
        <w:rPr>
          <w:rFonts w:hint="eastAsia" w:hAnsi="宋体"/>
          <w:color w:val="auto"/>
          <w:sz w:val="24"/>
          <w:szCs w:val="24"/>
        </w:rPr>
        <w:t>委托函等），</w:t>
      </w:r>
      <w:r>
        <w:rPr>
          <w:rFonts w:hint="eastAsia" w:hAnsi="宋体"/>
          <w:color w:val="000000"/>
          <w:sz w:val="24"/>
          <w:szCs w:val="24"/>
        </w:rPr>
        <w:t>以及另外密封并加盖骑缝章的</w:t>
      </w:r>
      <w:r>
        <w:rPr>
          <w:rFonts w:hint="eastAsia" w:hAnsi="宋体"/>
          <w:color w:val="000000"/>
          <w:sz w:val="24"/>
          <w:szCs w:val="24"/>
          <w:lang w:eastAsia="zh-CN"/>
        </w:rPr>
        <w:t>响应</w:t>
      </w:r>
      <w:r>
        <w:rPr>
          <w:rFonts w:hint="eastAsia" w:hAnsi="宋体"/>
          <w:color w:val="000000"/>
          <w:sz w:val="24"/>
          <w:szCs w:val="24"/>
        </w:rPr>
        <w:t>报价文件（封面写明此次采购项目名称）。</w:t>
      </w:r>
    </w:p>
    <w:p w14:paraId="639B1C2F">
      <w:pPr>
        <w:spacing w:line="360" w:lineRule="auto"/>
        <w:ind w:firstLine="480" w:firstLineChars="200"/>
        <w:jc w:val="left"/>
        <w:rPr>
          <w:rFonts w:hint="eastAsia"/>
          <w:sz w:val="24"/>
          <w:szCs w:val="24"/>
          <w:lang w:val="en-US" w:eastAsia="zh-CN"/>
        </w:rPr>
      </w:pPr>
      <w:r>
        <w:rPr>
          <w:rFonts w:hint="eastAsia"/>
          <w:sz w:val="24"/>
          <w:szCs w:val="24"/>
          <w:lang w:val="en-US" w:eastAsia="zh-CN"/>
        </w:rPr>
        <w:t>图书馆发出遴选公告，应选单位须在规定时间提交上述文件到图书馆，图书馆组织评审组，根据规则选出中选服务商，并进行公告，公告结束签订合同。</w:t>
      </w:r>
    </w:p>
    <w:p w14:paraId="4160B463">
      <w:pPr>
        <w:numPr>
          <w:ilvl w:val="0"/>
          <w:numId w:val="1"/>
        </w:numPr>
        <w:jc w:val="both"/>
        <w:rPr>
          <w:rFonts w:hint="eastAsia" w:hAnsi="宋体"/>
          <w:b/>
          <w:bCs/>
          <w:color w:val="auto"/>
          <w:sz w:val="28"/>
          <w:szCs w:val="28"/>
          <w:highlight w:val="none"/>
          <w:lang w:val="en-US" w:eastAsia="zh-CN"/>
        </w:rPr>
      </w:pPr>
      <w:r>
        <w:rPr>
          <w:rFonts w:hint="eastAsia" w:hAnsi="宋体"/>
          <w:b/>
          <w:bCs/>
          <w:color w:val="auto"/>
          <w:sz w:val="28"/>
          <w:szCs w:val="28"/>
          <w:highlight w:val="none"/>
          <w:lang w:val="en-US" w:eastAsia="zh-CN"/>
        </w:rPr>
        <w:t>综合评分表</w:t>
      </w:r>
    </w:p>
    <w:tbl>
      <w:tblPr>
        <w:tblStyle w:val="4"/>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36"/>
        <w:gridCol w:w="3828"/>
        <w:gridCol w:w="707"/>
        <w:gridCol w:w="707"/>
        <w:gridCol w:w="1413"/>
      </w:tblGrid>
      <w:tr w14:paraId="1AE0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noWrap w:val="0"/>
            <w:vAlign w:val="center"/>
          </w:tcPr>
          <w:p w14:paraId="1CAD2EEB">
            <w:pPr>
              <w:jc w:val="center"/>
              <w:rPr>
                <w:rFonts w:ascii="宋体" w:hAnsi="宋体"/>
                <w:b/>
                <w:szCs w:val="21"/>
              </w:rPr>
            </w:pPr>
            <w:bookmarkStart w:id="4" w:name="_GoBack"/>
            <w:bookmarkEnd w:id="4"/>
            <w:r>
              <w:rPr>
                <w:rFonts w:hint="eastAsia" w:ascii="宋体" w:hAnsi="宋体"/>
                <w:b/>
                <w:szCs w:val="21"/>
              </w:rPr>
              <w:t>评审标准分类</w:t>
            </w:r>
          </w:p>
        </w:tc>
        <w:tc>
          <w:tcPr>
            <w:tcW w:w="638" w:type="pct"/>
            <w:noWrap w:val="0"/>
            <w:vAlign w:val="center"/>
          </w:tcPr>
          <w:p w14:paraId="7BF76CF2">
            <w:pPr>
              <w:jc w:val="center"/>
              <w:rPr>
                <w:rFonts w:ascii="宋体" w:hAnsi="宋体"/>
                <w:b/>
                <w:szCs w:val="21"/>
              </w:rPr>
            </w:pPr>
            <w:r>
              <w:rPr>
                <w:rFonts w:hint="eastAsia" w:ascii="宋体" w:hAnsi="宋体"/>
                <w:b/>
                <w:szCs w:val="21"/>
              </w:rPr>
              <w:t>评审标准</w:t>
            </w:r>
          </w:p>
        </w:tc>
        <w:tc>
          <w:tcPr>
            <w:tcW w:w="2151" w:type="pct"/>
            <w:noWrap w:val="0"/>
            <w:vAlign w:val="center"/>
          </w:tcPr>
          <w:p w14:paraId="76DFF3BC">
            <w:pPr>
              <w:jc w:val="center"/>
              <w:rPr>
                <w:rFonts w:ascii="宋体" w:hAnsi="宋体"/>
                <w:b/>
                <w:szCs w:val="21"/>
              </w:rPr>
            </w:pPr>
            <w:r>
              <w:rPr>
                <w:rFonts w:hint="eastAsia" w:ascii="宋体" w:hAnsi="宋体"/>
                <w:b/>
                <w:szCs w:val="21"/>
              </w:rPr>
              <w:t>评审内容</w:t>
            </w:r>
          </w:p>
        </w:tc>
        <w:tc>
          <w:tcPr>
            <w:tcW w:w="397" w:type="pct"/>
            <w:noWrap w:val="0"/>
            <w:vAlign w:val="center"/>
          </w:tcPr>
          <w:p w14:paraId="47E5CECD">
            <w:pPr>
              <w:jc w:val="center"/>
              <w:rPr>
                <w:rFonts w:ascii="宋体" w:hAnsi="宋体"/>
                <w:b/>
                <w:szCs w:val="21"/>
              </w:rPr>
            </w:pPr>
            <w:r>
              <w:rPr>
                <w:rFonts w:hint="eastAsia" w:ascii="宋体" w:hAnsi="宋体"/>
                <w:b/>
                <w:szCs w:val="21"/>
              </w:rPr>
              <w:t>分值类型</w:t>
            </w:r>
          </w:p>
        </w:tc>
        <w:tc>
          <w:tcPr>
            <w:tcW w:w="397" w:type="pct"/>
            <w:noWrap w:val="0"/>
            <w:vAlign w:val="center"/>
          </w:tcPr>
          <w:p w14:paraId="17CE5345">
            <w:pPr>
              <w:jc w:val="center"/>
              <w:rPr>
                <w:rFonts w:hint="eastAsia" w:ascii="宋体" w:hAnsi="宋体"/>
                <w:b/>
                <w:szCs w:val="21"/>
              </w:rPr>
            </w:pPr>
            <w:r>
              <w:rPr>
                <w:rFonts w:hint="eastAsia" w:ascii="宋体" w:hAnsi="宋体"/>
                <w:b/>
                <w:szCs w:val="21"/>
              </w:rPr>
              <w:t>总分</w:t>
            </w:r>
          </w:p>
        </w:tc>
        <w:tc>
          <w:tcPr>
            <w:tcW w:w="794" w:type="pct"/>
            <w:noWrap w:val="0"/>
            <w:vAlign w:val="center"/>
          </w:tcPr>
          <w:p w14:paraId="07F4ABA7">
            <w:pPr>
              <w:jc w:val="center"/>
              <w:rPr>
                <w:rFonts w:hint="eastAsia" w:ascii="宋体" w:hAnsi="宋体"/>
                <w:b/>
                <w:szCs w:val="21"/>
              </w:rPr>
            </w:pPr>
            <w:r>
              <w:rPr>
                <w:rFonts w:hint="eastAsia" w:ascii="宋体" w:hAnsi="宋体"/>
                <w:b/>
                <w:szCs w:val="21"/>
              </w:rPr>
              <w:t>分值</w:t>
            </w:r>
          </w:p>
        </w:tc>
      </w:tr>
      <w:tr w14:paraId="495D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noWrap w:val="0"/>
            <w:vAlign w:val="center"/>
          </w:tcPr>
          <w:p w14:paraId="63924791">
            <w:pPr>
              <w:jc w:val="center"/>
              <w:rPr>
                <w:rFonts w:ascii="宋体" w:hAnsi="宋体"/>
                <w:szCs w:val="21"/>
              </w:rPr>
            </w:pPr>
            <w:r>
              <w:rPr>
                <w:rFonts w:hint="eastAsia" w:ascii="宋体" w:hAnsi="宋体"/>
                <w:szCs w:val="21"/>
              </w:rPr>
              <w:t>价格评审</w:t>
            </w:r>
          </w:p>
          <w:p w14:paraId="0DAA413A">
            <w:pPr>
              <w:jc w:val="center"/>
              <w:rPr>
                <w:rFonts w:hint="eastAsia" w:ascii="宋体" w:hAnsi="宋体"/>
                <w:szCs w:val="21"/>
              </w:rPr>
            </w:pPr>
            <w:r>
              <w:rPr>
                <w:rFonts w:hint="eastAsia" w:ascii="宋体" w:hAnsi="宋体"/>
                <w:szCs w:val="21"/>
              </w:rPr>
              <w:t>（</w:t>
            </w:r>
            <w:r>
              <w:rPr>
                <w:rFonts w:ascii="宋体" w:hAnsi="宋体"/>
                <w:szCs w:val="21"/>
              </w:rPr>
              <w:t>30分</w:t>
            </w:r>
            <w:r>
              <w:rPr>
                <w:rFonts w:hint="eastAsia" w:ascii="宋体" w:hAnsi="宋体"/>
                <w:szCs w:val="21"/>
              </w:rPr>
              <w:t>）</w:t>
            </w:r>
          </w:p>
        </w:tc>
        <w:tc>
          <w:tcPr>
            <w:tcW w:w="638" w:type="pct"/>
            <w:noWrap w:val="0"/>
            <w:vAlign w:val="center"/>
          </w:tcPr>
          <w:p w14:paraId="1093BF74">
            <w:pPr>
              <w:jc w:val="center"/>
              <w:rPr>
                <w:rFonts w:ascii="宋体" w:hAnsi="宋体"/>
                <w:szCs w:val="21"/>
              </w:rPr>
            </w:pPr>
            <w:r>
              <w:rPr>
                <w:rFonts w:hint="eastAsia" w:ascii="宋体" w:hAnsi="宋体"/>
                <w:szCs w:val="21"/>
              </w:rPr>
              <w:t>报价</w:t>
            </w:r>
          </w:p>
        </w:tc>
        <w:tc>
          <w:tcPr>
            <w:tcW w:w="2151" w:type="pct"/>
            <w:noWrap w:val="0"/>
            <w:vAlign w:val="center"/>
          </w:tcPr>
          <w:p w14:paraId="71A75B6D">
            <w:pPr>
              <w:jc w:val="left"/>
              <w:rPr>
                <w:szCs w:val="21"/>
              </w:rPr>
            </w:pPr>
            <w:r>
              <w:rPr>
                <w:rFonts w:hint="eastAsia"/>
                <w:szCs w:val="21"/>
              </w:rPr>
              <w:t>各有效响应供应商的评审价中，取最低者作为基准价，各有效响应供应商的价格评分统一按照下列公式计算：</w:t>
            </w:r>
          </w:p>
          <w:p w14:paraId="3E6A682B">
            <w:pPr>
              <w:rPr>
                <w:rFonts w:ascii="宋体" w:hAnsi="宋体"/>
                <w:szCs w:val="21"/>
              </w:rPr>
            </w:pPr>
            <w:r>
              <w:rPr>
                <w:rFonts w:hint="eastAsia"/>
                <w:szCs w:val="21"/>
              </w:rPr>
              <w:t>价格评分＝（基准价/评审价）×</w:t>
            </w:r>
            <w:r>
              <w:rPr>
                <w:szCs w:val="21"/>
              </w:rPr>
              <w:t>3</w:t>
            </w:r>
            <w:r>
              <w:rPr>
                <w:rFonts w:hint="eastAsia"/>
                <w:szCs w:val="21"/>
              </w:rPr>
              <w:t>0</w:t>
            </w:r>
          </w:p>
        </w:tc>
        <w:tc>
          <w:tcPr>
            <w:tcW w:w="397" w:type="pct"/>
            <w:noWrap w:val="0"/>
            <w:vAlign w:val="center"/>
          </w:tcPr>
          <w:p w14:paraId="78D8999D">
            <w:pPr>
              <w:jc w:val="center"/>
              <w:rPr>
                <w:rFonts w:ascii="宋体" w:hAnsi="宋体"/>
                <w:szCs w:val="21"/>
              </w:rPr>
            </w:pPr>
            <w:r>
              <w:rPr>
                <w:rFonts w:hint="eastAsia" w:ascii="宋体" w:hAnsi="宋体"/>
                <w:szCs w:val="21"/>
              </w:rPr>
              <w:t>区间评分</w:t>
            </w:r>
          </w:p>
        </w:tc>
        <w:tc>
          <w:tcPr>
            <w:tcW w:w="397" w:type="pct"/>
            <w:noWrap w:val="0"/>
            <w:vAlign w:val="center"/>
          </w:tcPr>
          <w:p w14:paraId="7E86D675">
            <w:pPr>
              <w:jc w:val="center"/>
              <w:rPr>
                <w:rFonts w:hint="eastAsia" w:ascii="宋体" w:hAnsi="宋体"/>
                <w:szCs w:val="21"/>
              </w:rPr>
            </w:pPr>
            <w:r>
              <w:rPr>
                <w:rFonts w:ascii="宋体" w:hAnsi="宋体"/>
                <w:szCs w:val="21"/>
              </w:rPr>
              <w:t>30</w:t>
            </w:r>
          </w:p>
        </w:tc>
        <w:tc>
          <w:tcPr>
            <w:tcW w:w="794" w:type="pct"/>
            <w:noWrap w:val="0"/>
            <w:vAlign w:val="center"/>
          </w:tcPr>
          <w:p w14:paraId="0177E36A">
            <w:pPr>
              <w:jc w:val="center"/>
              <w:rPr>
                <w:rFonts w:hint="eastAsia" w:ascii="宋体" w:hAnsi="宋体"/>
                <w:szCs w:val="21"/>
              </w:rPr>
            </w:pPr>
            <w:r>
              <w:rPr>
                <w:rFonts w:ascii="宋体" w:hAnsi="宋体"/>
                <w:szCs w:val="21"/>
              </w:rPr>
              <w:t>0~30</w:t>
            </w:r>
          </w:p>
        </w:tc>
      </w:tr>
      <w:tr w14:paraId="304F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vMerge w:val="restart"/>
            <w:noWrap w:val="0"/>
            <w:vAlign w:val="center"/>
          </w:tcPr>
          <w:p w14:paraId="38B4EA20">
            <w:pPr>
              <w:jc w:val="center"/>
              <w:rPr>
                <w:rFonts w:ascii="宋体" w:hAnsi="宋体"/>
                <w:szCs w:val="21"/>
              </w:rPr>
            </w:pPr>
            <w:r>
              <w:rPr>
                <w:rFonts w:hint="eastAsia" w:ascii="宋体" w:hAnsi="宋体"/>
                <w:szCs w:val="21"/>
              </w:rPr>
              <w:t>服务评审</w:t>
            </w:r>
          </w:p>
          <w:p w14:paraId="2AA3230F">
            <w:pPr>
              <w:jc w:val="center"/>
              <w:rPr>
                <w:rFonts w:hint="eastAsia" w:ascii="宋体" w:hAnsi="宋体"/>
                <w:szCs w:val="21"/>
              </w:rPr>
            </w:pPr>
            <w:r>
              <w:rPr>
                <w:rFonts w:hint="eastAsia" w:ascii="宋体" w:hAnsi="宋体"/>
                <w:szCs w:val="21"/>
              </w:rPr>
              <w:t>（40分）</w:t>
            </w:r>
          </w:p>
        </w:tc>
        <w:tc>
          <w:tcPr>
            <w:tcW w:w="638" w:type="pct"/>
            <w:noWrap w:val="0"/>
            <w:vAlign w:val="center"/>
          </w:tcPr>
          <w:p w14:paraId="65A3EC7B">
            <w:pPr>
              <w:jc w:val="center"/>
              <w:rPr>
                <w:rFonts w:hint="eastAsia" w:ascii="宋体" w:hAnsi="宋体"/>
                <w:szCs w:val="21"/>
              </w:rPr>
            </w:pPr>
            <w:r>
              <w:rPr>
                <w:rFonts w:hint="eastAsia" w:ascii="宋体" w:hAnsi="宋体"/>
                <w:szCs w:val="21"/>
              </w:rPr>
              <w:t>服务条款响应情况</w:t>
            </w:r>
          </w:p>
        </w:tc>
        <w:tc>
          <w:tcPr>
            <w:tcW w:w="2151" w:type="pct"/>
            <w:noWrap w:val="0"/>
            <w:vAlign w:val="center"/>
          </w:tcPr>
          <w:p w14:paraId="3524E6CE">
            <w:pPr>
              <w:widowControl/>
              <w:wordWrap w:val="0"/>
              <w:jc w:val="left"/>
              <w:textAlignment w:val="top"/>
              <w:rPr>
                <w:rFonts w:ascii="宋体" w:hAnsi="宋体" w:cs="宋体"/>
                <w:szCs w:val="21"/>
              </w:rPr>
            </w:pPr>
            <w:r>
              <w:rPr>
                <w:rFonts w:hint="eastAsia" w:ascii="宋体" w:hAnsi="宋体" w:cs="宋体"/>
                <w:szCs w:val="21"/>
              </w:rPr>
              <w:t>根据供应</w:t>
            </w:r>
            <w:r>
              <w:rPr>
                <w:rFonts w:hint="eastAsia" w:ascii="宋体" w:hAnsi="宋体" w:cs="宋体"/>
                <w:b w:val="0"/>
                <w:bCs w:val="0"/>
                <w:szCs w:val="21"/>
              </w:rPr>
              <w:t>商对“二、服务要求”的</w:t>
            </w:r>
            <w:r>
              <w:rPr>
                <w:rFonts w:hint="eastAsia" w:ascii="宋体" w:hAnsi="宋体" w:cs="宋体"/>
                <w:szCs w:val="21"/>
              </w:rPr>
              <w:t>内容（共</w:t>
            </w:r>
            <w:r>
              <w:rPr>
                <w:rFonts w:ascii="宋体" w:hAnsi="宋体" w:cs="宋体"/>
                <w:szCs w:val="21"/>
              </w:rPr>
              <w:t>1</w:t>
            </w:r>
            <w:r>
              <w:rPr>
                <w:rFonts w:hint="eastAsia" w:ascii="宋体" w:hAnsi="宋体" w:cs="宋体"/>
                <w:szCs w:val="21"/>
                <w:lang w:val="en-US" w:eastAsia="zh-CN"/>
              </w:rPr>
              <w:t>5</w:t>
            </w:r>
            <w:r>
              <w:rPr>
                <w:rFonts w:hint="eastAsia" w:ascii="宋体" w:hAnsi="宋体" w:cs="宋体"/>
                <w:szCs w:val="21"/>
              </w:rPr>
              <w:t>项）逐条响应情况进行评审：</w:t>
            </w:r>
          </w:p>
          <w:p w14:paraId="00F1E96B">
            <w:pPr>
              <w:jc w:val="left"/>
              <w:rPr>
                <w:rFonts w:hint="eastAsia"/>
                <w:szCs w:val="21"/>
              </w:rPr>
            </w:pPr>
            <w:r>
              <w:rPr>
                <w:rFonts w:hint="eastAsia" w:ascii="宋体" w:hAnsi="宋体" w:cs="宋体"/>
                <w:szCs w:val="21"/>
              </w:rPr>
              <w:t>完全满足得1</w:t>
            </w:r>
            <w:r>
              <w:rPr>
                <w:rFonts w:hint="eastAsia" w:ascii="宋体" w:hAnsi="宋体" w:cs="宋体"/>
                <w:szCs w:val="21"/>
                <w:lang w:val="en-US" w:eastAsia="zh-CN"/>
              </w:rPr>
              <w:t>5</w:t>
            </w:r>
            <w:r>
              <w:rPr>
                <w:rFonts w:hint="eastAsia" w:ascii="宋体" w:hAnsi="宋体" w:cs="宋体"/>
                <w:szCs w:val="21"/>
              </w:rPr>
              <w:t>分，每有一项不满足扣1分，扣完为止。</w:t>
            </w:r>
          </w:p>
        </w:tc>
        <w:tc>
          <w:tcPr>
            <w:tcW w:w="397" w:type="pct"/>
            <w:noWrap w:val="0"/>
            <w:vAlign w:val="center"/>
          </w:tcPr>
          <w:p w14:paraId="0D55F760">
            <w:pPr>
              <w:jc w:val="center"/>
              <w:rPr>
                <w:rFonts w:hint="eastAsia" w:ascii="宋体" w:hAnsi="宋体"/>
                <w:szCs w:val="21"/>
              </w:rPr>
            </w:pPr>
            <w:r>
              <w:rPr>
                <w:rFonts w:hint="eastAsia" w:ascii="宋体" w:hAnsi="宋体"/>
                <w:szCs w:val="21"/>
              </w:rPr>
              <w:t>区间评分</w:t>
            </w:r>
          </w:p>
        </w:tc>
        <w:tc>
          <w:tcPr>
            <w:tcW w:w="397" w:type="pct"/>
            <w:noWrap w:val="0"/>
            <w:vAlign w:val="center"/>
          </w:tcPr>
          <w:p w14:paraId="728D2190">
            <w:pPr>
              <w:jc w:val="center"/>
              <w:rPr>
                <w:rFonts w:hint="eastAsia" w:ascii="宋体" w:hAnsi="宋体" w:eastAsiaTheme="minorEastAsia"/>
                <w:szCs w:val="21"/>
                <w:lang w:eastAsia="zh-CN"/>
              </w:rPr>
            </w:pPr>
            <w:r>
              <w:rPr>
                <w:rFonts w:hint="eastAsia" w:ascii="宋体" w:hAnsi="宋体"/>
                <w:szCs w:val="21"/>
              </w:rPr>
              <w:t>1</w:t>
            </w:r>
            <w:r>
              <w:rPr>
                <w:rFonts w:hint="eastAsia" w:ascii="宋体" w:hAnsi="宋体"/>
                <w:szCs w:val="21"/>
                <w:lang w:val="en-US" w:eastAsia="zh-CN"/>
              </w:rPr>
              <w:t>5</w:t>
            </w:r>
          </w:p>
        </w:tc>
        <w:tc>
          <w:tcPr>
            <w:tcW w:w="794" w:type="pct"/>
            <w:noWrap w:val="0"/>
            <w:vAlign w:val="center"/>
          </w:tcPr>
          <w:p w14:paraId="3CAF2AD1">
            <w:pPr>
              <w:jc w:val="center"/>
              <w:rPr>
                <w:rFonts w:hint="eastAsia" w:ascii="宋体" w:hAnsi="宋体" w:eastAsiaTheme="minorEastAsia"/>
                <w:szCs w:val="21"/>
                <w:lang w:eastAsia="zh-CN"/>
              </w:rPr>
            </w:pPr>
            <w:r>
              <w:rPr>
                <w:rFonts w:ascii="宋体" w:hAnsi="宋体"/>
                <w:szCs w:val="21"/>
              </w:rPr>
              <w:t>0~1</w:t>
            </w:r>
            <w:r>
              <w:rPr>
                <w:rFonts w:hint="eastAsia" w:ascii="宋体" w:hAnsi="宋体"/>
                <w:szCs w:val="21"/>
                <w:lang w:val="en-US" w:eastAsia="zh-CN"/>
              </w:rPr>
              <w:t>5</w:t>
            </w:r>
          </w:p>
        </w:tc>
      </w:tr>
      <w:tr w14:paraId="171B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622" w:type="pct"/>
            <w:vMerge w:val="continue"/>
            <w:noWrap w:val="0"/>
            <w:vAlign w:val="center"/>
          </w:tcPr>
          <w:p w14:paraId="7898DB4F">
            <w:pPr>
              <w:jc w:val="center"/>
              <w:rPr>
                <w:rFonts w:hint="eastAsia" w:ascii="宋体" w:hAnsi="宋体"/>
                <w:szCs w:val="21"/>
              </w:rPr>
            </w:pPr>
          </w:p>
        </w:tc>
        <w:tc>
          <w:tcPr>
            <w:tcW w:w="638" w:type="pct"/>
            <w:noWrap w:val="0"/>
            <w:vAlign w:val="center"/>
          </w:tcPr>
          <w:p w14:paraId="679A2CF8">
            <w:pPr>
              <w:jc w:val="center"/>
              <w:rPr>
                <w:szCs w:val="21"/>
              </w:rPr>
            </w:pPr>
            <w:r>
              <w:rPr>
                <w:rFonts w:hint="eastAsia"/>
                <w:szCs w:val="21"/>
              </w:rPr>
              <w:t>期刊质量及差错处理方案</w:t>
            </w:r>
          </w:p>
        </w:tc>
        <w:tc>
          <w:tcPr>
            <w:tcW w:w="2151" w:type="pct"/>
            <w:noWrap w:val="0"/>
            <w:vAlign w:val="center"/>
          </w:tcPr>
          <w:p w14:paraId="4E6A6476">
            <w:pPr>
              <w:rPr>
                <w:rFonts w:hint="eastAsia"/>
                <w:szCs w:val="21"/>
              </w:rPr>
            </w:pPr>
            <w:r>
              <w:rPr>
                <w:rFonts w:hint="eastAsia"/>
                <w:szCs w:val="21"/>
              </w:rPr>
              <w:t>根据供应商对期刊质量、数量问题及出现差错的处理方案进行评审：</w:t>
            </w:r>
          </w:p>
          <w:p w14:paraId="1DBEB9BD">
            <w:pPr>
              <w:rPr>
                <w:rFonts w:hint="eastAsia"/>
                <w:szCs w:val="21"/>
              </w:rPr>
            </w:pPr>
            <w:r>
              <w:rPr>
                <w:rFonts w:hint="eastAsia"/>
                <w:szCs w:val="21"/>
              </w:rPr>
              <w:t>1、供应商提供的处理方案能保证严格按照订单供货、差错率低、出现问题能积极配合、无条件退换货或补齐，方案可行性强，得</w:t>
            </w:r>
            <w:r>
              <w:rPr>
                <w:szCs w:val="21"/>
              </w:rPr>
              <w:t>5</w:t>
            </w:r>
            <w:r>
              <w:rPr>
                <w:rFonts w:hint="eastAsia"/>
                <w:szCs w:val="21"/>
              </w:rPr>
              <w:t>分。</w:t>
            </w:r>
          </w:p>
          <w:p w14:paraId="348E5A6C">
            <w:pPr>
              <w:rPr>
                <w:rFonts w:hint="eastAsia"/>
              </w:rPr>
            </w:pPr>
            <w:r>
              <w:rPr>
                <w:rFonts w:hint="eastAsia"/>
                <w:szCs w:val="21"/>
              </w:rPr>
              <w:t>2、供应商提供的处理方案一般、较容易出现差错、出现问题不能及时协商解决，方案可行性不高，得</w:t>
            </w:r>
            <w:r>
              <w:rPr>
                <w:rFonts w:hint="eastAsia"/>
                <w:szCs w:val="21"/>
                <w:lang w:val="en-US" w:eastAsia="zh-CN"/>
              </w:rPr>
              <w:t>2</w:t>
            </w:r>
            <w:r>
              <w:rPr>
                <w:rFonts w:hint="eastAsia"/>
                <w:szCs w:val="21"/>
              </w:rPr>
              <w:t>分。</w:t>
            </w:r>
          </w:p>
          <w:p w14:paraId="0D446C81">
            <w:pPr>
              <w:rPr>
                <w:rFonts w:hint="eastAsia"/>
                <w:szCs w:val="21"/>
              </w:rPr>
            </w:pPr>
            <w:r>
              <w:rPr>
                <w:rFonts w:hint="eastAsia"/>
                <w:szCs w:val="21"/>
                <w:lang w:val="en-US" w:eastAsia="zh-CN"/>
              </w:rPr>
              <w:t>3</w:t>
            </w:r>
            <w:r>
              <w:rPr>
                <w:rFonts w:hint="eastAsia"/>
                <w:szCs w:val="21"/>
              </w:rPr>
              <w:t>、未提供处理方案或其他情况得0分。</w:t>
            </w:r>
          </w:p>
        </w:tc>
        <w:tc>
          <w:tcPr>
            <w:tcW w:w="397" w:type="pct"/>
            <w:noWrap w:val="0"/>
            <w:vAlign w:val="center"/>
          </w:tcPr>
          <w:p w14:paraId="5F3B76FA">
            <w:pPr>
              <w:jc w:val="center"/>
              <w:rPr>
                <w:szCs w:val="21"/>
              </w:rPr>
            </w:pPr>
            <w:r>
              <w:rPr>
                <w:szCs w:val="21"/>
              </w:rPr>
              <w:t>分级评分</w:t>
            </w:r>
          </w:p>
        </w:tc>
        <w:tc>
          <w:tcPr>
            <w:tcW w:w="397" w:type="pct"/>
            <w:noWrap w:val="0"/>
            <w:vAlign w:val="center"/>
          </w:tcPr>
          <w:p w14:paraId="1EF1075F">
            <w:pPr>
              <w:jc w:val="center"/>
              <w:rPr>
                <w:szCs w:val="21"/>
              </w:rPr>
            </w:pPr>
            <w:r>
              <w:rPr>
                <w:rFonts w:ascii="宋体" w:hAnsi="宋体" w:cs="宋体"/>
                <w:szCs w:val="21"/>
              </w:rPr>
              <w:t>5</w:t>
            </w:r>
          </w:p>
        </w:tc>
        <w:tc>
          <w:tcPr>
            <w:tcW w:w="794" w:type="pct"/>
            <w:noWrap w:val="0"/>
            <w:vAlign w:val="center"/>
          </w:tcPr>
          <w:p w14:paraId="3B966050">
            <w:pPr>
              <w:jc w:val="center"/>
              <w:rPr>
                <w:rFonts w:ascii="宋体" w:hAnsi="宋体" w:cs="宋体"/>
                <w:szCs w:val="21"/>
              </w:rPr>
            </w:pP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2</w:t>
            </w:r>
            <w:r>
              <w:rPr>
                <w:rFonts w:ascii="宋体" w:hAnsi="宋体" w:cs="宋体"/>
                <w:szCs w:val="21"/>
              </w:rPr>
              <w:t>,5</w:t>
            </w:r>
          </w:p>
        </w:tc>
      </w:tr>
      <w:tr w14:paraId="7F41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vMerge w:val="continue"/>
            <w:noWrap w:val="0"/>
            <w:vAlign w:val="center"/>
          </w:tcPr>
          <w:p w14:paraId="6A2BE272">
            <w:pPr>
              <w:jc w:val="center"/>
              <w:rPr>
                <w:rFonts w:hint="eastAsia" w:ascii="宋体" w:hAnsi="宋体"/>
                <w:szCs w:val="21"/>
              </w:rPr>
            </w:pPr>
          </w:p>
        </w:tc>
        <w:tc>
          <w:tcPr>
            <w:tcW w:w="638" w:type="pct"/>
            <w:noWrap w:val="0"/>
            <w:vAlign w:val="center"/>
          </w:tcPr>
          <w:p w14:paraId="1CB5838D">
            <w:pPr>
              <w:jc w:val="center"/>
              <w:rPr>
                <w:rFonts w:ascii="宋体" w:hAnsi="宋体"/>
                <w:szCs w:val="21"/>
              </w:rPr>
            </w:pPr>
            <w:r>
              <w:rPr>
                <w:rFonts w:hint="eastAsia" w:ascii="宋体" w:hAnsi="宋体"/>
                <w:szCs w:val="21"/>
              </w:rPr>
              <w:t>期刊数据提供及出版信息变动通报</w:t>
            </w:r>
          </w:p>
        </w:tc>
        <w:tc>
          <w:tcPr>
            <w:tcW w:w="2151" w:type="pct"/>
            <w:noWrap w:val="0"/>
            <w:vAlign w:val="top"/>
          </w:tcPr>
          <w:p w14:paraId="13991712">
            <w:pPr>
              <w:rPr>
                <w:rFonts w:hint="eastAsia" w:ascii="宋体" w:hAnsi="宋体" w:cs="宋体"/>
                <w:szCs w:val="21"/>
              </w:rPr>
            </w:pPr>
            <w:r>
              <w:rPr>
                <w:rFonts w:hint="eastAsia" w:ascii="宋体" w:hAnsi="宋体" w:cs="宋体"/>
                <w:szCs w:val="21"/>
              </w:rPr>
              <w:t>根据供应商的期刊采访和编目数据提供情况、更新和通报出版变动情况等进行评审：</w:t>
            </w:r>
          </w:p>
          <w:p w14:paraId="60BF0ECE">
            <w:pPr>
              <w:rPr>
                <w:rFonts w:hint="eastAsia" w:ascii="宋体" w:hAnsi="宋体" w:cs="宋体"/>
                <w:szCs w:val="21"/>
              </w:rPr>
            </w:pPr>
            <w:r>
              <w:rPr>
                <w:rFonts w:hint="eastAsia" w:ascii="宋体" w:hAnsi="宋体" w:cs="宋体"/>
                <w:szCs w:val="21"/>
              </w:rPr>
              <w:t>1、</w:t>
            </w:r>
            <w:bookmarkStart w:id="0" w:name="_Hlk170139318"/>
            <w:r>
              <w:rPr>
                <w:rFonts w:hint="eastAsia" w:ascii="宋体" w:hAnsi="宋体" w:cs="宋体"/>
                <w:szCs w:val="21"/>
              </w:rPr>
              <w:t>供应商具备功能完善、性能稳定的电子商务网站，能提供采购期刊规范的采访和编目数据，能及时准确更新、通报(或查询）采购人所订期刊发货情况和信息变动情况</w:t>
            </w:r>
            <w:bookmarkEnd w:id="0"/>
            <w:r>
              <w:rPr>
                <w:rFonts w:hint="eastAsia" w:ascii="宋体" w:hAnsi="宋体" w:cs="宋体"/>
                <w:szCs w:val="21"/>
              </w:rPr>
              <w:t>，得</w:t>
            </w:r>
            <w:r>
              <w:rPr>
                <w:rFonts w:ascii="宋体" w:hAnsi="宋体" w:cs="宋体"/>
                <w:szCs w:val="21"/>
              </w:rPr>
              <w:t>4</w:t>
            </w:r>
            <w:r>
              <w:rPr>
                <w:rFonts w:hint="eastAsia" w:ascii="宋体" w:hAnsi="宋体" w:cs="宋体"/>
                <w:szCs w:val="21"/>
              </w:rPr>
              <w:t>分。</w:t>
            </w:r>
          </w:p>
          <w:p w14:paraId="545E6DA4">
            <w:pPr>
              <w:rPr>
                <w:rFonts w:hint="eastAsia" w:ascii="宋体" w:hAnsi="宋体" w:cs="宋体"/>
                <w:szCs w:val="21"/>
              </w:rPr>
            </w:pPr>
            <w:r>
              <w:rPr>
                <w:rFonts w:hint="eastAsia" w:ascii="宋体" w:hAnsi="宋体" w:cs="宋体"/>
                <w:szCs w:val="21"/>
              </w:rPr>
              <w:t>2、供应商具备电子商务网站，能提供采购期刊较为准确全面的采访和编目数据，并更新和通报期刊出版信息的变动情况，得</w:t>
            </w:r>
            <w:r>
              <w:rPr>
                <w:rFonts w:ascii="宋体" w:hAnsi="宋体" w:cs="宋体"/>
                <w:szCs w:val="21"/>
              </w:rPr>
              <w:t>2</w:t>
            </w:r>
            <w:r>
              <w:rPr>
                <w:rFonts w:hint="eastAsia" w:ascii="宋体" w:hAnsi="宋体" w:cs="宋体"/>
                <w:szCs w:val="21"/>
              </w:rPr>
              <w:t>分。</w:t>
            </w:r>
          </w:p>
          <w:p w14:paraId="09EF4A67">
            <w:pPr>
              <w:rPr>
                <w:rFonts w:hint="eastAsia" w:ascii="宋体" w:hAnsi="宋体" w:cs="宋体"/>
                <w:szCs w:val="21"/>
              </w:rPr>
            </w:pPr>
            <w:r>
              <w:rPr>
                <w:rFonts w:hint="eastAsia" w:ascii="宋体" w:hAnsi="宋体" w:cs="宋体"/>
                <w:szCs w:val="21"/>
              </w:rPr>
              <w:t>3、其他情况或未提供得0分。</w:t>
            </w:r>
          </w:p>
          <w:p w14:paraId="2F091C49">
            <w:pPr>
              <w:rPr>
                <w:rFonts w:ascii="宋体" w:hAnsi="宋体" w:cs="宋体"/>
                <w:szCs w:val="21"/>
              </w:rPr>
            </w:pPr>
            <w:r>
              <w:rPr>
                <w:rFonts w:hint="eastAsia" w:ascii="宋体" w:hAnsi="宋体" w:cs="宋体"/>
                <w:szCs w:val="21"/>
              </w:rPr>
              <w:t>（须提供</w:t>
            </w:r>
            <w:r>
              <w:rPr>
                <w:rFonts w:hint="eastAsia" w:ascii="宋体" w:hAnsi="宋体" w:cs="宋体"/>
                <w:b w:val="0"/>
                <w:bCs w:val="0"/>
                <w:szCs w:val="21"/>
              </w:rPr>
              <w:t>有效网址及网页截屏</w:t>
            </w:r>
            <w:r>
              <w:rPr>
                <w:rFonts w:hint="eastAsia" w:ascii="宋体" w:hAnsi="宋体" w:cs="宋体"/>
                <w:szCs w:val="21"/>
              </w:rPr>
              <w:t>并加盖供应商公章，未提供证明材料不得分）</w:t>
            </w:r>
          </w:p>
        </w:tc>
        <w:tc>
          <w:tcPr>
            <w:tcW w:w="397" w:type="pct"/>
            <w:noWrap w:val="0"/>
            <w:vAlign w:val="center"/>
          </w:tcPr>
          <w:p w14:paraId="1576F968">
            <w:pPr>
              <w:jc w:val="center"/>
              <w:rPr>
                <w:rFonts w:ascii="宋体" w:hAnsi="宋体" w:cs="宋体"/>
                <w:szCs w:val="21"/>
              </w:rPr>
            </w:pPr>
            <w:r>
              <w:rPr>
                <w:szCs w:val="21"/>
              </w:rPr>
              <w:t>分级评分</w:t>
            </w:r>
          </w:p>
        </w:tc>
        <w:tc>
          <w:tcPr>
            <w:tcW w:w="397" w:type="pct"/>
            <w:noWrap w:val="0"/>
            <w:vAlign w:val="center"/>
          </w:tcPr>
          <w:p w14:paraId="3113FB15">
            <w:pPr>
              <w:jc w:val="center"/>
              <w:rPr>
                <w:rFonts w:ascii="宋体" w:hAnsi="宋体" w:cs="宋体"/>
                <w:szCs w:val="21"/>
              </w:rPr>
            </w:pPr>
            <w:r>
              <w:rPr>
                <w:rFonts w:ascii="宋体" w:hAnsi="宋体" w:cs="宋体"/>
                <w:szCs w:val="21"/>
              </w:rPr>
              <w:t>4</w:t>
            </w:r>
          </w:p>
        </w:tc>
        <w:tc>
          <w:tcPr>
            <w:tcW w:w="794" w:type="pct"/>
            <w:noWrap w:val="0"/>
            <w:vAlign w:val="center"/>
          </w:tcPr>
          <w:p w14:paraId="0F486EE3">
            <w:pPr>
              <w:jc w:val="center"/>
              <w:rPr>
                <w:rFonts w:ascii="宋体" w:hAnsi="宋体" w:cs="宋体"/>
                <w:szCs w:val="21"/>
              </w:rPr>
            </w:pPr>
            <w:r>
              <w:rPr>
                <w:rFonts w:hint="eastAsia" w:ascii="宋体" w:hAnsi="宋体" w:cs="宋体"/>
                <w:szCs w:val="21"/>
              </w:rPr>
              <w:t>0</w:t>
            </w:r>
            <w:r>
              <w:rPr>
                <w:rFonts w:ascii="宋体" w:hAnsi="宋体" w:cs="宋体"/>
                <w:szCs w:val="21"/>
              </w:rPr>
              <w:t>,2,4</w:t>
            </w:r>
          </w:p>
        </w:tc>
      </w:tr>
      <w:tr w14:paraId="251E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vMerge w:val="continue"/>
            <w:noWrap w:val="0"/>
            <w:vAlign w:val="center"/>
          </w:tcPr>
          <w:p w14:paraId="53A53B32">
            <w:pPr>
              <w:jc w:val="center"/>
              <w:rPr>
                <w:rFonts w:hint="eastAsia" w:ascii="宋体" w:hAnsi="宋体"/>
                <w:szCs w:val="21"/>
              </w:rPr>
            </w:pPr>
          </w:p>
        </w:tc>
        <w:tc>
          <w:tcPr>
            <w:tcW w:w="638" w:type="pct"/>
            <w:noWrap w:val="0"/>
            <w:vAlign w:val="center"/>
          </w:tcPr>
          <w:p w14:paraId="1C1BFD8A">
            <w:pPr>
              <w:jc w:val="center"/>
              <w:rPr>
                <w:rFonts w:ascii="宋体" w:hAnsi="宋体"/>
                <w:szCs w:val="21"/>
              </w:rPr>
            </w:pPr>
            <w:r>
              <w:rPr>
                <w:rFonts w:hint="eastAsia" w:ascii="宋体" w:hAnsi="宋体"/>
                <w:szCs w:val="21"/>
              </w:rPr>
              <w:t>期刊到货时间</w:t>
            </w:r>
          </w:p>
        </w:tc>
        <w:tc>
          <w:tcPr>
            <w:tcW w:w="2151" w:type="pct"/>
            <w:noWrap w:val="0"/>
            <w:vAlign w:val="center"/>
          </w:tcPr>
          <w:p w14:paraId="53AF3F81">
            <w:pPr>
              <w:rPr>
                <w:rFonts w:hint="eastAsia" w:ascii="宋体" w:hAnsi="宋体"/>
                <w:szCs w:val="21"/>
              </w:rPr>
            </w:pPr>
            <w:r>
              <w:rPr>
                <w:rFonts w:hint="eastAsia" w:ascii="宋体" w:hAnsi="宋体"/>
                <w:szCs w:val="21"/>
              </w:rPr>
              <w:t>根据供应商的期刊到货时间承诺进行评审：</w:t>
            </w:r>
          </w:p>
          <w:p w14:paraId="23B92EC6">
            <w:pPr>
              <w:rPr>
                <w:rFonts w:hint="eastAsia" w:ascii="宋体" w:hAnsi="宋体"/>
                <w:szCs w:val="21"/>
              </w:rPr>
            </w:pPr>
            <w:r>
              <w:rPr>
                <w:rFonts w:hint="eastAsia" w:ascii="宋体" w:hAnsi="宋体"/>
                <w:szCs w:val="21"/>
              </w:rPr>
              <w:t>1、供应商承诺：期刊出版（下订）后2个月内（含2个月）到馆，得5分。</w:t>
            </w:r>
          </w:p>
          <w:p w14:paraId="6256FA21">
            <w:pPr>
              <w:rPr>
                <w:rFonts w:hint="eastAsia" w:ascii="宋体" w:hAnsi="宋体"/>
                <w:szCs w:val="21"/>
              </w:rPr>
            </w:pPr>
            <w:r>
              <w:rPr>
                <w:rFonts w:hint="eastAsia" w:ascii="宋体" w:hAnsi="宋体"/>
                <w:szCs w:val="21"/>
              </w:rPr>
              <w:t>2、供应商承诺：期刊出版（下订）后3个月内（含3个月）到馆，得</w:t>
            </w:r>
            <w:r>
              <w:rPr>
                <w:rFonts w:ascii="宋体" w:hAnsi="宋体"/>
                <w:szCs w:val="21"/>
              </w:rPr>
              <w:t>2</w:t>
            </w:r>
            <w:r>
              <w:rPr>
                <w:rFonts w:hint="eastAsia" w:ascii="宋体" w:hAnsi="宋体"/>
                <w:szCs w:val="21"/>
              </w:rPr>
              <w:t>分。</w:t>
            </w:r>
          </w:p>
          <w:p w14:paraId="48F308BF">
            <w:pPr>
              <w:rPr>
                <w:rFonts w:hint="eastAsia" w:ascii="宋体" w:hAnsi="宋体"/>
                <w:szCs w:val="21"/>
              </w:rPr>
            </w:pPr>
            <w:r>
              <w:rPr>
                <w:rFonts w:hint="eastAsia" w:ascii="宋体" w:hAnsi="宋体"/>
                <w:szCs w:val="21"/>
              </w:rPr>
              <w:t>3、供应商承诺：期刊出版（下订）后3个月后到馆，得0分。</w:t>
            </w:r>
          </w:p>
          <w:p w14:paraId="50B2CD4E">
            <w:pPr>
              <w:rPr>
                <w:rFonts w:ascii="宋体" w:hAnsi="宋体"/>
                <w:szCs w:val="21"/>
              </w:rPr>
            </w:pPr>
            <w:r>
              <w:rPr>
                <w:rFonts w:hint="eastAsia" w:ascii="宋体" w:hAnsi="宋体"/>
                <w:szCs w:val="21"/>
              </w:rPr>
              <w:t>（须提供承诺函并加盖供应商公章，未提供不得分）</w:t>
            </w:r>
          </w:p>
        </w:tc>
        <w:tc>
          <w:tcPr>
            <w:tcW w:w="397" w:type="pct"/>
            <w:noWrap w:val="0"/>
            <w:vAlign w:val="center"/>
          </w:tcPr>
          <w:p w14:paraId="6026A815">
            <w:pPr>
              <w:jc w:val="center"/>
              <w:rPr>
                <w:rFonts w:hint="eastAsia" w:ascii="宋体" w:hAnsi="宋体" w:cs="宋体"/>
                <w:szCs w:val="21"/>
              </w:rPr>
            </w:pPr>
            <w:r>
              <w:rPr>
                <w:rFonts w:hint="eastAsia" w:ascii="宋体" w:hAnsi="宋体" w:cs="宋体"/>
                <w:szCs w:val="21"/>
              </w:rPr>
              <w:t>分级评分</w:t>
            </w:r>
          </w:p>
        </w:tc>
        <w:tc>
          <w:tcPr>
            <w:tcW w:w="397" w:type="pct"/>
            <w:noWrap w:val="0"/>
            <w:vAlign w:val="center"/>
          </w:tcPr>
          <w:p w14:paraId="5AA30DC3">
            <w:pPr>
              <w:jc w:val="center"/>
              <w:rPr>
                <w:rFonts w:hint="eastAsia" w:ascii="宋体" w:hAnsi="宋体" w:cs="宋体" w:eastAsiaTheme="minorEastAsia"/>
                <w:szCs w:val="21"/>
                <w:lang w:eastAsia="zh-CN"/>
              </w:rPr>
            </w:pPr>
            <w:r>
              <w:rPr>
                <w:rFonts w:hint="eastAsia" w:ascii="宋体" w:hAnsi="宋体" w:cs="宋体"/>
                <w:szCs w:val="21"/>
                <w:lang w:val="en-US" w:eastAsia="zh-CN"/>
              </w:rPr>
              <w:t>6</w:t>
            </w:r>
          </w:p>
        </w:tc>
        <w:tc>
          <w:tcPr>
            <w:tcW w:w="794" w:type="pct"/>
            <w:noWrap w:val="0"/>
            <w:vAlign w:val="center"/>
          </w:tcPr>
          <w:p w14:paraId="230C6751">
            <w:pPr>
              <w:jc w:val="center"/>
              <w:rPr>
                <w:rFonts w:hint="eastAsia" w:ascii="宋体" w:hAnsi="宋体" w:cs="宋体"/>
                <w:szCs w:val="21"/>
              </w:rPr>
            </w:pPr>
            <w:r>
              <w:rPr>
                <w:rFonts w:hint="eastAsia" w:ascii="宋体" w:hAnsi="宋体" w:cs="宋体"/>
                <w:szCs w:val="21"/>
              </w:rPr>
              <w:t>0</w:t>
            </w:r>
            <w:r>
              <w:rPr>
                <w:rFonts w:ascii="宋体" w:hAnsi="宋体" w:cs="宋体"/>
                <w:szCs w:val="21"/>
              </w:rPr>
              <w:t>,2,</w:t>
            </w:r>
            <w:r>
              <w:rPr>
                <w:rFonts w:hint="eastAsia" w:ascii="宋体" w:hAnsi="宋体" w:cs="宋体"/>
                <w:szCs w:val="21"/>
              </w:rPr>
              <w:t>5</w:t>
            </w:r>
          </w:p>
        </w:tc>
      </w:tr>
      <w:tr w14:paraId="27DB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vMerge w:val="continue"/>
            <w:noWrap w:val="0"/>
            <w:vAlign w:val="center"/>
          </w:tcPr>
          <w:p w14:paraId="6FBF830D">
            <w:pPr>
              <w:jc w:val="center"/>
              <w:rPr>
                <w:rFonts w:hint="eastAsia" w:ascii="宋体" w:hAnsi="宋体"/>
                <w:szCs w:val="21"/>
              </w:rPr>
            </w:pPr>
          </w:p>
        </w:tc>
        <w:tc>
          <w:tcPr>
            <w:tcW w:w="638" w:type="pct"/>
            <w:noWrap w:val="0"/>
            <w:vAlign w:val="center"/>
          </w:tcPr>
          <w:p w14:paraId="02A564A0">
            <w:pPr>
              <w:jc w:val="center"/>
              <w:rPr>
                <w:rFonts w:hint="eastAsia" w:ascii="宋体" w:hAnsi="宋体"/>
                <w:szCs w:val="21"/>
              </w:rPr>
            </w:pPr>
            <w:bookmarkStart w:id="1" w:name="_Hlk170137136"/>
            <w:r>
              <w:rPr>
                <w:rFonts w:hint="eastAsia" w:ascii="宋体" w:hAnsi="宋体"/>
                <w:szCs w:val="21"/>
              </w:rPr>
              <w:t>期刊送货频率</w:t>
            </w:r>
            <w:bookmarkEnd w:id="1"/>
          </w:p>
        </w:tc>
        <w:tc>
          <w:tcPr>
            <w:tcW w:w="2151" w:type="pct"/>
            <w:noWrap w:val="0"/>
            <w:vAlign w:val="center"/>
          </w:tcPr>
          <w:p w14:paraId="1D0DEDEF">
            <w:pPr>
              <w:rPr>
                <w:rFonts w:hint="eastAsia" w:ascii="宋体" w:hAnsi="宋体"/>
                <w:szCs w:val="21"/>
              </w:rPr>
            </w:pPr>
            <w:r>
              <w:rPr>
                <w:rFonts w:hint="eastAsia" w:ascii="宋体" w:hAnsi="宋体"/>
                <w:szCs w:val="21"/>
              </w:rPr>
              <w:t>根据供应商的期刊送货频率承诺进行评审：</w:t>
            </w:r>
          </w:p>
          <w:p w14:paraId="5D3C777A">
            <w:pPr>
              <w:rPr>
                <w:rFonts w:hint="eastAsia" w:ascii="宋体" w:hAnsi="宋体"/>
                <w:szCs w:val="21"/>
              </w:rPr>
            </w:pPr>
            <w:r>
              <w:rPr>
                <w:rFonts w:hint="eastAsia" w:ascii="宋体" w:hAnsi="宋体"/>
                <w:szCs w:val="21"/>
              </w:rPr>
              <w:t>1、供应商承诺：期刊每周至少配送一次，免费送货到指定地点，按要求包装、附配送清单，得4分。</w:t>
            </w:r>
          </w:p>
          <w:p w14:paraId="2A7A5F8E">
            <w:pPr>
              <w:rPr>
                <w:rFonts w:hint="eastAsia" w:ascii="宋体" w:hAnsi="宋体"/>
                <w:szCs w:val="21"/>
              </w:rPr>
            </w:pPr>
            <w:r>
              <w:rPr>
                <w:rFonts w:hint="eastAsia" w:ascii="宋体" w:hAnsi="宋体"/>
                <w:szCs w:val="21"/>
              </w:rPr>
              <w:t>2、供应商承诺：期刊每两周配送一次，免费送货到指定地点，按要求包装、附配送清单，得2分。</w:t>
            </w:r>
          </w:p>
          <w:p w14:paraId="3D8A0452">
            <w:pPr>
              <w:rPr>
                <w:rFonts w:hint="eastAsia" w:ascii="宋体" w:hAnsi="宋体"/>
                <w:szCs w:val="21"/>
              </w:rPr>
            </w:pPr>
            <w:r>
              <w:rPr>
                <w:rFonts w:hint="eastAsia" w:ascii="宋体" w:hAnsi="宋体"/>
                <w:szCs w:val="21"/>
                <w:lang w:val="en-US" w:eastAsia="zh-CN"/>
              </w:rPr>
              <w:t>3</w:t>
            </w:r>
            <w:r>
              <w:rPr>
                <w:rFonts w:hint="eastAsia" w:ascii="宋体" w:hAnsi="宋体"/>
                <w:szCs w:val="21"/>
              </w:rPr>
              <w:t>、其他情况得0分。</w:t>
            </w:r>
          </w:p>
          <w:p w14:paraId="6622B903">
            <w:pPr>
              <w:rPr>
                <w:rFonts w:hint="eastAsia" w:ascii="宋体" w:hAnsi="宋体"/>
                <w:szCs w:val="21"/>
              </w:rPr>
            </w:pPr>
            <w:r>
              <w:rPr>
                <w:rFonts w:hint="eastAsia" w:ascii="宋体" w:hAnsi="宋体"/>
                <w:szCs w:val="21"/>
              </w:rPr>
              <w:t>（须提供承诺函并加盖供应商公章，未提供不得分）</w:t>
            </w:r>
          </w:p>
        </w:tc>
        <w:tc>
          <w:tcPr>
            <w:tcW w:w="397" w:type="pct"/>
            <w:noWrap w:val="0"/>
            <w:vAlign w:val="center"/>
          </w:tcPr>
          <w:p w14:paraId="7994DB7E">
            <w:pPr>
              <w:jc w:val="center"/>
              <w:rPr>
                <w:rFonts w:hint="eastAsia" w:ascii="宋体" w:hAnsi="宋体" w:cs="宋体"/>
                <w:szCs w:val="21"/>
              </w:rPr>
            </w:pPr>
            <w:r>
              <w:rPr>
                <w:rFonts w:hint="eastAsia" w:ascii="宋体" w:hAnsi="宋体" w:cs="宋体"/>
                <w:szCs w:val="21"/>
              </w:rPr>
              <w:t>分级评分</w:t>
            </w:r>
          </w:p>
        </w:tc>
        <w:tc>
          <w:tcPr>
            <w:tcW w:w="397" w:type="pct"/>
            <w:noWrap w:val="0"/>
            <w:vAlign w:val="center"/>
          </w:tcPr>
          <w:p w14:paraId="7AB96906">
            <w:pPr>
              <w:jc w:val="center"/>
              <w:rPr>
                <w:rFonts w:ascii="宋体" w:hAnsi="宋体" w:cs="宋体"/>
                <w:szCs w:val="21"/>
              </w:rPr>
            </w:pPr>
            <w:r>
              <w:rPr>
                <w:rFonts w:ascii="宋体" w:hAnsi="宋体" w:cs="宋体"/>
                <w:szCs w:val="21"/>
              </w:rPr>
              <w:t>4</w:t>
            </w:r>
          </w:p>
        </w:tc>
        <w:tc>
          <w:tcPr>
            <w:tcW w:w="794" w:type="pct"/>
            <w:noWrap w:val="0"/>
            <w:vAlign w:val="center"/>
          </w:tcPr>
          <w:p w14:paraId="2C813DF5">
            <w:pPr>
              <w:jc w:val="center"/>
              <w:rPr>
                <w:rFonts w:hint="eastAsia" w:ascii="宋体" w:hAnsi="宋体" w:cs="宋体"/>
                <w:szCs w:val="21"/>
              </w:rPr>
            </w:pPr>
            <w:r>
              <w:rPr>
                <w:rFonts w:hint="eastAsia" w:ascii="宋体" w:hAnsi="宋体" w:cs="宋体"/>
                <w:szCs w:val="21"/>
              </w:rPr>
              <w:t>0</w:t>
            </w:r>
            <w:r>
              <w:rPr>
                <w:rFonts w:ascii="宋体" w:hAnsi="宋体" w:cs="宋体"/>
                <w:szCs w:val="21"/>
              </w:rPr>
              <w:t>,2,4</w:t>
            </w:r>
          </w:p>
        </w:tc>
      </w:tr>
      <w:tr w14:paraId="7729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622" w:type="pct"/>
            <w:vMerge w:val="continue"/>
            <w:noWrap w:val="0"/>
            <w:vAlign w:val="center"/>
          </w:tcPr>
          <w:p w14:paraId="03C219A6">
            <w:pPr>
              <w:jc w:val="center"/>
              <w:rPr>
                <w:rFonts w:hint="eastAsia" w:ascii="宋体" w:hAnsi="宋体"/>
                <w:szCs w:val="21"/>
              </w:rPr>
            </w:pPr>
          </w:p>
        </w:tc>
        <w:tc>
          <w:tcPr>
            <w:tcW w:w="638" w:type="pct"/>
            <w:noWrap w:val="0"/>
            <w:vAlign w:val="center"/>
          </w:tcPr>
          <w:p w14:paraId="7E411ECB">
            <w:pPr>
              <w:jc w:val="center"/>
              <w:rPr>
                <w:rFonts w:hint="eastAsia" w:ascii="宋体" w:hAnsi="宋体"/>
                <w:szCs w:val="21"/>
              </w:rPr>
            </w:pPr>
            <w:bookmarkStart w:id="2" w:name="_Hlk170139353"/>
            <w:r>
              <w:rPr>
                <w:rFonts w:hint="eastAsia" w:ascii="宋体" w:hAnsi="宋体" w:cs="宋体"/>
                <w:szCs w:val="21"/>
              </w:rPr>
              <w:t>缺刊处理方案</w:t>
            </w:r>
            <w:bookmarkEnd w:id="2"/>
          </w:p>
        </w:tc>
        <w:tc>
          <w:tcPr>
            <w:tcW w:w="2151" w:type="pct"/>
            <w:noWrap w:val="0"/>
            <w:vAlign w:val="center"/>
          </w:tcPr>
          <w:p w14:paraId="46161956">
            <w:pPr>
              <w:rPr>
                <w:rFonts w:hint="eastAsia" w:ascii="宋体" w:hAnsi="宋体"/>
                <w:szCs w:val="21"/>
              </w:rPr>
            </w:pPr>
            <w:r>
              <w:rPr>
                <w:rFonts w:hint="eastAsia" w:ascii="宋体" w:hAnsi="宋体"/>
                <w:szCs w:val="21"/>
              </w:rPr>
              <w:t>根据供应商提供的缺刊处理方案进行评审：</w:t>
            </w:r>
          </w:p>
          <w:p w14:paraId="40DB7B77">
            <w:pPr>
              <w:rPr>
                <w:rFonts w:hint="eastAsia" w:ascii="宋体" w:hAnsi="宋体"/>
                <w:szCs w:val="21"/>
              </w:rPr>
            </w:pPr>
            <w:r>
              <w:rPr>
                <w:rFonts w:hint="eastAsia" w:ascii="宋体" w:hAnsi="宋体"/>
                <w:szCs w:val="21"/>
              </w:rPr>
              <w:t>1、供应商对催缺请求响应快速有效，</w:t>
            </w:r>
            <w:r>
              <w:rPr>
                <w:rFonts w:hint="eastAsia" w:ascii="宋体" w:hAnsi="宋体"/>
                <w:szCs w:val="21"/>
                <w:lang w:eastAsia="zh-CN"/>
              </w:rPr>
              <w:t>能</w:t>
            </w:r>
            <w:r>
              <w:rPr>
                <w:rFonts w:hint="eastAsia" w:ascii="宋体" w:hAnsi="宋体"/>
                <w:szCs w:val="21"/>
              </w:rPr>
              <w:t>说明缺刊原因，并提供详细、可行的缺刊处理方案，补刊方式多样且补刊及时，得</w:t>
            </w:r>
            <w:r>
              <w:rPr>
                <w:rFonts w:ascii="宋体" w:hAnsi="宋体"/>
                <w:szCs w:val="21"/>
              </w:rPr>
              <w:t>6</w:t>
            </w:r>
            <w:r>
              <w:rPr>
                <w:rFonts w:hint="eastAsia" w:ascii="宋体" w:hAnsi="宋体"/>
                <w:szCs w:val="21"/>
              </w:rPr>
              <w:t>分。</w:t>
            </w:r>
          </w:p>
          <w:p w14:paraId="138964B2">
            <w:pPr>
              <w:rPr>
                <w:rFonts w:ascii="宋体" w:hAnsi="宋体"/>
                <w:szCs w:val="21"/>
              </w:rPr>
            </w:pPr>
            <w:r>
              <w:rPr>
                <w:rFonts w:hint="eastAsia" w:ascii="宋体" w:hAnsi="宋体"/>
                <w:szCs w:val="21"/>
              </w:rPr>
              <w:t>2、供应商对催缺请求响应</w:t>
            </w:r>
            <w:r>
              <w:rPr>
                <w:rFonts w:hint="eastAsia" w:ascii="宋体" w:hAnsi="宋体"/>
                <w:szCs w:val="21"/>
                <w:lang w:eastAsia="zh-CN"/>
              </w:rPr>
              <w:t>缓慢</w:t>
            </w:r>
            <w:r>
              <w:rPr>
                <w:rFonts w:hint="eastAsia" w:ascii="宋体" w:hAnsi="宋体"/>
                <w:szCs w:val="21"/>
              </w:rPr>
              <w:t>，</w:t>
            </w:r>
            <w:r>
              <w:rPr>
                <w:rFonts w:hint="eastAsia" w:ascii="宋体" w:hAnsi="宋体"/>
                <w:szCs w:val="21"/>
                <w:lang w:eastAsia="zh-CN"/>
              </w:rPr>
              <w:t>能</w:t>
            </w:r>
            <w:r>
              <w:rPr>
                <w:rFonts w:hint="eastAsia" w:ascii="宋体" w:hAnsi="宋体"/>
                <w:szCs w:val="21"/>
              </w:rPr>
              <w:t>说明缺刊原因，提供的缺刊处理方案简略、可行性一般，补刊方式较少，补刊较慢，得</w:t>
            </w:r>
            <w:r>
              <w:rPr>
                <w:rFonts w:hint="eastAsia" w:ascii="宋体" w:hAnsi="宋体"/>
                <w:szCs w:val="21"/>
                <w:lang w:val="en-US" w:eastAsia="zh-CN"/>
              </w:rPr>
              <w:t>2</w:t>
            </w:r>
            <w:r>
              <w:rPr>
                <w:rFonts w:hint="eastAsia" w:ascii="宋体" w:hAnsi="宋体"/>
                <w:szCs w:val="21"/>
              </w:rPr>
              <w:t>分。</w:t>
            </w:r>
          </w:p>
          <w:p w14:paraId="52A239AB">
            <w:pPr>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其他情况，不得分。</w:t>
            </w:r>
          </w:p>
          <w:p w14:paraId="6C364FC4">
            <w:pPr>
              <w:rPr>
                <w:rFonts w:hint="eastAsia" w:ascii="宋体" w:hAnsi="宋体"/>
                <w:szCs w:val="21"/>
              </w:rPr>
            </w:pPr>
            <w:r>
              <w:rPr>
                <w:rFonts w:hint="eastAsia" w:ascii="宋体" w:hAnsi="宋体"/>
                <w:szCs w:val="21"/>
              </w:rPr>
              <w:t>（须提供缺刊处理方案及相关证明材料并加盖公章，未提供不得分）</w:t>
            </w:r>
          </w:p>
        </w:tc>
        <w:tc>
          <w:tcPr>
            <w:tcW w:w="397" w:type="pct"/>
            <w:noWrap w:val="0"/>
            <w:vAlign w:val="center"/>
          </w:tcPr>
          <w:p w14:paraId="7B8D2DFA">
            <w:pPr>
              <w:jc w:val="center"/>
              <w:rPr>
                <w:rFonts w:hint="eastAsia" w:ascii="宋体" w:hAnsi="宋体" w:cs="宋体"/>
                <w:szCs w:val="21"/>
              </w:rPr>
            </w:pPr>
            <w:r>
              <w:rPr>
                <w:rFonts w:hint="eastAsia" w:ascii="宋体" w:hAnsi="宋体" w:cs="宋体"/>
                <w:szCs w:val="21"/>
              </w:rPr>
              <w:t>分级评分</w:t>
            </w:r>
          </w:p>
        </w:tc>
        <w:tc>
          <w:tcPr>
            <w:tcW w:w="397" w:type="pct"/>
            <w:noWrap w:val="0"/>
            <w:vAlign w:val="center"/>
          </w:tcPr>
          <w:p w14:paraId="0FB2A72C">
            <w:pPr>
              <w:jc w:val="center"/>
              <w:rPr>
                <w:rFonts w:hint="eastAsia" w:ascii="宋体" w:hAnsi="宋体" w:cs="宋体"/>
                <w:szCs w:val="21"/>
              </w:rPr>
            </w:pPr>
            <w:r>
              <w:rPr>
                <w:rFonts w:hint="eastAsia" w:ascii="宋体" w:hAnsi="宋体" w:cs="宋体"/>
                <w:szCs w:val="21"/>
              </w:rPr>
              <w:t>6</w:t>
            </w:r>
          </w:p>
        </w:tc>
        <w:tc>
          <w:tcPr>
            <w:tcW w:w="794" w:type="pct"/>
            <w:noWrap w:val="0"/>
            <w:vAlign w:val="center"/>
          </w:tcPr>
          <w:p w14:paraId="7D8EE318">
            <w:pPr>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rPr>
              <w:t>6</w:t>
            </w:r>
          </w:p>
        </w:tc>
      </w:tr>
      <w:tr w14:paraId="48CB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vMerge w:val="restart"/>
            <w:noWrap w:val="0"/>
            <w:vAlign w:val="center"/>
          </w:tcPr>
          <w:p w14:paraId="22D43C51">
            <w:pPr>
              <w:jc w:val="center"/>
              <w:rPr>
                <w:rFonts w:ascii="宋体" w:hAnsi="宋体"/>
                <w:szCs w:val="21"/>
              </w:rPr>
            </w:pPr>
            <w:r>
              <w:rPr>
                <w:rFonts w:hint="eastAsia" w:ascii="宋体" w:hAnsi="宋体"/>
                <w:szCs w:val="21"/>
              </w:rPr>
              <w:t>商务评审</w:t>
            </w:r>
          </w:p>
          <w:p w14:paraId="46FE03B2">
            <w:pPr>
              <w:jc w:val="center"/>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0</w:t>
            </w:r>
            <w:r>
              <w:rPr>
                <w:rFonts w:ascii="宋体" w:hAnsi="宋体"/>
                <w:szCs w:val="21"/>
              </w:rPr>
              <w:t>分</w:t>
            </w:r>
            <w:r>
              <w:rPr>
                <w:rFonts w:hint="eastAsia" w:ascii="宋体" w:hAnsi="宋体"/>
                <w:szCs w:val="21"/>
              </w:rPr>
              <w:t>）</w:t>
            </w:r>
          </w:p>
        </w:tc>
        <w:tc>
          <w:tcPr>
            <w:tcW w:w="638" w:type="pct"/>
            <w:noWrap w:val="0"/>
            <w:vAlign w:val="center"/>
          </w:tcPr>
          <w:p w14:paraId="14ED7E57">
            <w:pPr>
              <w:jc w:val="center"/>
              <w:rPr>
                <w:rFonts w:ascii="宋体" w:hAnsi="宋体" w:cs="宋体"/>
                <w:szCs w:val="21"/>
              </w:rPr>
            </w:pPr>
            <w:r>
              <w:rPr>
                <w:rFonts w:hint="eastAsia" w:ascii="宋体" w:hAnsi="宋体" w:cs="宋体"/>
                <w:szCs w:val="21"/>
              </w:rPr>
              <w:t>进口期刊来源情况</w:t>
            </w:r>
          </w:p>
        </w:tc>
        <w:tc>
          <w:tcPr>
            <w:tcW w:w="2151" w:type="pct"/>
            <w:noWrap w:val="0"/>
            <w:vAlign w:val="top"/>
          </w:tcPr>
          <w:p w14:paraId="6B0D08E6">
            <w:pPr>
              <w:rPr>
                <w:rFonts w:hint="eastAsia"/>
                <w:szCs w:val="21"/>
              </w:rPr>
            </w:pPr>
            <w:r>
              <w:rPr>
                <w:rFonts w:hint="eastAsia"/>
                <w:szCs w:val="21"/>
              </w:rPr>
              <w:t>根据供应商提供的进口期刊来源情况进行评审：</w:t>
            </w:r>
          </w:p>
          <w:p w14:paraId="1173B6AE">
            <w:pPr>
              <w:rPr>
                <w:rFonts w:hint="eastAsia"/>
                <w:szCs w:val="21"/>
              </w:rPr>
            </w:pPr>
            <w:r>
              <w:rPr>
                <w:rFonts w:hint="eastAsia"/>
                <w:szCs w:val="21"/>
              </w:rPr>
              <w:t>1、供应商保证进口期刊来源合法，供货渠道顺畅，与</w:t>
            </w:r>
            <w:r>
              <w:rPr>
                <w:rFonts w:hint="eastAsia"/>
                <w:szCs w:val="21"/>
                <w:lang w:val="en-US" w:eastAsia="zh-CN"/>
              </w:rPr>
              <w:t>15</w:t>
            </w:r>
            <w:r>
              <w:rPr>
                <w:rFonts w:hint="eastAsia"/>
                <w:szCs w:val="21"/>
              </w:rPr>
              <w:t>家以上（含</w:t>
            </w:r>
            <w:r>
              <w:rPr>
                <w:rFonts w:hint="eastAsia"/>
                <w:szCs w:val="21"/>
                <w:lang w:val="en-US" w:eastAsia="zh-CN"/>
              </w:rPr>
              <w:t>15</w:t>
            </w:r>
            <w:r>
              <w:rPr>
                <w:rFonts w:hint="eastAsia"/>
                <w:szCs w:val="21"/>
              </w:rPr>
              <w:t>家）国外期刊出版发行机构合作，得</w:t>
            </w:r>
            <w:r>
              <w:rPr>
                <w:szCs w:val="21"/>
              </w:rPr>
              <w:t>5</w:t>
            </w:r>
            <w:r>
              <w:rPr>
                <w:rFonts w:hint="eastAsia"/>
                <w:szCs w:val="21"/>
              </w:rPr>
              <w:t>分。</w:t>
            </w:r>
          </w:p>
          <w:p w14:paraId="54A6B8D8">
            <w:pPr>
              <w:rPr>
                <w:rFonts w:hint="eastAsia"/>
                <w:szCs w:val="21"/>
              </w:rPr>
            </w:pPr>
            <w:r>
              <w:rPr>
                <w:rFonts w:hint="eastAsia"/>
                <w:szCs w:val="21"/>
              </w:rPr>
              <w:t>2、供应商保证进口期刊来源合法，供货渠道一般，与1家（含）-</w:t>
            </w:r>
            <w:r>
              <w:rPr>
                <w:rFonts w:hint="eastAsia"/>
                <w:szCs w:val="21"/>
                <w:lang w:val="en-US" w:eastAsia="zh-CN"/>
              </w:rPr>
              <w:t>1</w:t>
            </w:r>
            <w:r>
              <w:rPr>
                <w:rFonts w:hint="eastAsia"/>
                <w:szCs w:val="21"/>
              </w:rPr>
              <w:t>5家（不含）国外期刊出版发行机构合作，得</w:t>
            </w:r>
            <w:r>
              <w:rPr>
                <w:rFonts w:hint="eastAsia"/>
                <w:szCs w:val="21"/>
                <w:lang w:val="en-US" w:eastAsia="zh-CN"/>
              </w:rPr>
              <w:t>2</w:t>
            </w:r>
            <w:r>
              <w:rPr>
                <w:rFonts w:hint="eastAsia"/>
                <w:szCs w:val="21"/>
              </w:rPr>
              <w:t>分。</w:t>
            </w:r>
          </w:p>
          <w:p w14:paraId="0D32B26C">
            <w:pPr>
              <w:rPr>
                <w:rFonts w:hint="eastAsia"/>
                <w:szCs w:val="21"/>
              </w:rPr>
            </w:pPr>
            <w:r>
              <w:rPr>
                <w:rFonts w:hint="eastAsia"/>
                <w:szCs w:val="21"/>
                <w:lang w:val="en-US" w:eastAsia="zh-CN"/>
              </w:rPr>
              <w:t>3</w:t>
            </w:r>
            <w:r>
              <w:rPr>
                <w:rFonts w:hint="eastAsia"/>
                <w:szCs w:val="21"/>
              </w:rPr>
              <w:t>、其他情况不得分。</w:t>
            </w:r>
          </w:p>
          <w:p w14:paraId="64E6B841">
            <w:pPr>
              <w:rPr>
                <w:szCs w:val="21"/>
              </w:rPr>
            </w:pPr>
            <w:r>
              <w:rPr>
                <w:rFonts w:hint="eastAsia"/>
                <w:szCs w:val="21"/>
              </w:rPr>
              <w:t>（须提供有效期内的相关合作证明材料，未提供不得分</w:t>
            </w:r>
            <w:r>
              <w:rPr>
                <w:rFonts w:hint="eastAsia"/>
                <w:szCs w:val="21"/>
                <w:lang w:eastAsia="zh-CN"/>
              </w:rPr>
              <w:t>。</w:t>
            </w:r>
            <w:r>
              <w:rPr>
                <w:rFonts w:hint="eastAsia"/>
                <w:szCs w:val="21"/>
              </w:rPr>
              <w:t>材料请按名称排序，不能重复提交）</w:t>
            </w:r>
          </w:p>
        </w:tc>
        <w:tc>
          <w:tcPr>
            <w:tcW w:w="397" w:type="pct"/>
            <w:noWrap w:val="0"/>
            <w:vAlign w:val="center"/>
          </w:tcPr>
          <w:p w14:paraId="1FFB5604">
            <w:pPr>
              <w:jc w:val="center"/>
              <w:rPr>
                <w:rFonts w:hint="eastAsia" w:ascii="宋体" w:hAnsi="宋体" w:cs="宋体"/>
                <w:szCs w:val="21"/>
              </w:rPr>
            </w:pPr>
            <w:r>
              <w:rPr>
                <w:rFonts w:hint="eastAsia" w:ascii="宋体" w:hAnsi="宋体" w:cs="宋体"/>
                <w:szCs w:val="21"/>
              </w:rPr>
              <w:t>分级评分</w:t>
            </w:r>
          </w:p>
        </w:tc>
        <w:tc>
          <w:tcPr>
            <w:tcW w:w="397" w:type="pct"/>
            <w:noWrap w:val="0"/>
            <w:vAlign w:val="center"/>
          </w:tcPr>
          <w:p w14:paraId="2D3AACA7">
            <w:pPr>
              <w:jc w:val="center"/>
              <w:rPr>
                <w:rFonts w:hint="eastAsia" w:ascii="宋体" w:hAnsi="宋体" w:cs="宋体"/>
                <w:szCs w:val="21"/>
              </w:rPr>
            </w:pPr>
            <w:r>
              <w:rPr>
                <w:rFonts w:hint="eastAsia" w:ascii="宋体" w:hAnsi="宋体" w:cs="宋体"/>
                <w:szCs w:val="21"/>
              </w:rPr>
              <w:t>5</w:t>
            </w:r>
          </w:p>
        </w:tc>
        <w:tc>
          <w:tcPr>
            <w:tcW w:w="794" w:type="pct"/>
            <w:noWrap w:val="0"/>
            <w:vAlign w:val="center"/>
          </w:tcPr>
          <w:p w14:paraId="1AFAAE05">
            <w:pPr>
              <w:jc w:val="center"/>
              <w:rPr>
                <w:rFonts w:hint="eastAsia" w:ascii="宋体" w:hAnsi="宋体" w:cs="宋体"/>
                <w:szCs w:val="21"/>
              </w:rPr>
            </w:pP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2</w:t>
            </w:r>
            <w:r>
              <w:rPr>
                <w:rFonts w:ascii="宋体" w:hAnsi="宋体" w:cs="宋体"/>
                <w:szCs w:val="21"/>
              </w:rPr>
              <w:t>,5</w:t>
            </w:r>
          </w:p>
        </w:tc>
      </w:tr>
      <w:tr w14:paraId="4F05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vMerge w:val="continue"/>
            <w:noWrap w:val="0"/>
            <w:vAlign w:val="center"/>
          </w:tcPr>
          <w:p w14:paraId="36AB461D">
            <w:pPr>
              <w:jc w:val="center"/>
              <w:rPr>
                <w:rFonts w:hint="eastAsia" w:ascii="宋体" w:hAnsi="宋体"/>
                <w:szCs w:val="21"/>
              </w:rPr>
            </w:pPr>
          </w:p>
        </w:tc>
        <w:tc>
          <w:tcPr>
            <w:tcW w:w="638" w:type="pct"/>
            <w:noWrap w:val="0"/>
            <w:vAlign w:val="center"/>
          </w:tcPr>
          <w:p w14:paraId="474E40B2">
            <w:pPr>
              <w:jc w:val="center"/>
              <w:rPr>
                <w:rFonts w:hint="eastAsia" w:ascii="宋体" w:hAnsi="宋体" w:cs="宋体"/>
                <w:szCs w:val="21"/>
              </w:rPr>
            </w:pPr>
            <w:r>
              <w:rPr>
                <w:rFonts w:hint="eastAsia" w:ascii="宋体" w:hAnsi="宋体" w:cs="宋体"/>
                <w:szCs w:val="21"/>
              </w:rPr>
              <w:t>期刊配送能力</w:t>
            </w:r>
          </w:p>
        </w:tc>
        <w:tc>
          <w:tcPr>
            <w:tcW w:w="2151" w:type="pct"/>
            <w:noWrap w:val="0"/>
            <w:vAlign w:val="top"/>
          </w:tcPr>
          <w:p w14:paraId="48F20DC3">
            <w:pPr>
              <w:adjustRightInd w:val="0"/>
              <w:snapToGrid w:val="0"/>
              <w:spacing w:line="360" w:lineRule="auto"/>
              <w:rPr>
                <w:rFonts w:ascii="宋体" w:hAnsi="宋体" w:cs="宋体"/>
                <w:szCs w:val="21"/>
              </w:rPr>
            </w:pPr>
            <w:r>
              <w:rPr>
                <w:rFonts w:hint="eastAsia" w:ascii="宋体" w:hAnsi="宋体" w:cs="宋体"/>
                <w:szCs w:val="21"/>
              </w:rPr>
              <w:t>根据供应商的期刊配送能力情况等进行评审：</w:t>
            </w:r>
          </w:p>
          <w:p w14:paraId="1CFE5C80">
            <w:pPr>
              <w:numPr>
                <w:ilvl w:val="0"/>
                <w:numId w:val="3"/>
              </w:numPr>
              <w:adjustRightInd w:val="0"/>
              <w:snapToGrid w:val="0"/>
              <w:spacing w:line="360" w:lineRule="auto"/>
              <w:rPr>
                <w:rFonts w:hint="eastAsia" w:ascii="宋体" w:hAnsi="宋体" w:cs="宋体"/>
                <w:szCs w:val="21"/>
              </w:rPr>
            </w:pPr>
            <w:r>
              <w:rPr>
                <w:rFonts w:hint="eastAsia" w:ascii="宋体" w:hAnsi="宋体" w:cs="宋体"/>
                <w:szCs w:val="21"/>
              </w:rPr>
              <w:t>供应商具备海外期刊配送渠道的，得3分。</w:t>
            </w:r>
          </w:p>
          <w:p w14:paraId="6B3051FD">
            <w:pPr>
              <w:numPr>
                <w:ilvl w:val="0"/>
                <w:numId w:val="3"/>
              </w:numPr>
              <w:adjustRightInd w:val="0"/>
              <w:snapToGrid w:val="0"/>
              <w:spacing w:line="360" w:lineRule="auto"/>
              <w:rPr>
                <w:rFonts w:ascii="宋体" w:hAnsi="宋体" w:cs="宋体"/>
                <w:szCs w:val="21"/>
              </w:rPr>
            </w:pPr>
            <w:r>
              <w:rPr>
                <w:rFonts w:hint="eastAsia" w:ascii="宋体" w:hAnsi="宋体" w:cs="宋体"/>
                <w:szCs w:val="21"/>
              </w:rPr>
              <w:t>无海外期刊配送渠道得的，得0分。</w:t>
            </w:r>
          </w:p>
          <w:p w14:paraId="4A5B7FE4">
            <w:pPr>
              <w:rPr>
                <w:rFonts w:hint="eastAsia"/>
                <w:szCs w:val="21"/>
              </w:rPr>
            </w:pPr>
            <w:r>
              <w:rPr>
                <w:rFonts w:hint="eastAsia" w:ascii="宋体" w:hAnsi="宋体" w:cs="宋体"/>
                <w:szCs w:val="21"/>
                <w:lang w:eastAsia="zh-CN"/>
              </w:rPr>
              <w:t>（</w:t>
            </w:r>
            <w:r>
              <w:rPr>
                <w:rFonts w:hint="eastAsia" w:ascii="宋体" w:hAnsi="宋体" w:cs="宋体"/>
                <w:szCs w:val="21"/>
              </w:rPr>
              <w:t>须提供：供货渠道相关证明，未提供或提供不齐全不得分</w:t>
            </w:r>
            <w:r>
              <w:rPr>
                <w:rFonts w:hint="eastAsia" w:ascii="宋体" w:hAnsi="宋体" w:cs="宋体"/>
                <w:szCs w:val="21"/>
                <w:lang w:eastAsia="zh-CN"/>
              </w:rPr>
              <w:t>）</w:t>
            </w:r>
          </w:p>
        </w:tc>
        <w:tc>
          <w:tcPr>
            <w:tcW w:w="397" w:type="pct"/>
            <w:noWrap w:val="0"/>
            <w:vAlign w:val="center"/>
          </w:tcPr>
          <w:p w14:paraId="27D89565">
            <w:pPr>
              <w:jc w:val="center"/>
              <w:rPr>
                <w:rFonts w:hint="eastAsia" w:ascii="宋体" w:hAnsi="宋体" w:cs="宋体"/>
                <w:szCs w:val="21"/>
              </w:rPr>
            </w:pPr>
            <w:r>
              <w:rPr>
                <w:rFonts w:hint="eastAsia" w:ascii="宋体" w:hAnsi="宋体" w:cs="宋体"/>
                <w:szCs w:val="21"/>
              </w:rPr>
              <w:t>分级评分</w:t>
            </w:r>
          </w:p>
        </w:tc>
        <w:tc>
          <w:tcPr>
            <w:tcW w:w="397" w:type="pct"/>
            <w:noWrap w:val="0"/>
            <w:vAlign w:val="center"/>
          </w:tcPr>
          <w:p w14:paraId="69CF8414">
            <w:pPr>
              <w:jc w:val="center"/>
              <w:rPr>
                <w:rFonts w:hint="eastAsia" w:ascii="宋体" w:hAnsi="宋体" w:cs="宋体"/>
                <w:szCs w:val="21"/>
              </w:rPr>
            </w:pPr>
            <w:r>
              <w:rPr>
                <w:rFonts w:hint="eastAsia" w:ascii="宋体" w:hAnsi="宋体" w:cs="宋体"/>
                <w:szCs w:val="21"/>
              </w:rPr>
              <w:t>3</w:t>
            </w:r>
          </w:p>
        </w:tc>
        <w:tc>
          <w:tcPr>
            <w:tcW w:w="794" w:type="pct"/>
            <w:noWrap w:val="0"/>
            <w:vAlign w:val="center"/>
          </w:tcPr>
          <w:p w14:paraId="336C7BB1">
            <w:pPr>
              <w:jc w:val="center"/>
              <w:rPr>
                <w:rFonts w:hint="eastAsia" w:ascii="宋体" w:hAnsi="宋体" w:cs="宋体"/>
                <w:szCs w:val="21"/>
              </w:rPr>
            </w:pPr>
            <w:r>
              <w:rPr>
                <w:rFonts w:hint="eastAsia" w:ascii="宋体" w:hAnsi="宋体" w:cs="宋体"/>
                <w:szCs w:val="21"/>
              </w:rPr>
              <w:t>0</w:t>
            </w:r>
            <w:r>
              <w:rPr>
                <w:rFonts w:ascii="宋体" w:hAnsi="宋体" w:cs="宋体"/>
                <w:szCs w:val="21"/>
              </w:rPr>
              <w:t>,3</w:t>
            </w:r>
          </w:p>
        </w:tc>
      </w:tr>
      <w:tr w14:paraId="45E7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vMerge w:val="continue"/>
            <w:noWrap w:val="0"/>
            <w:vAlign w:val="top"/>
          </w:tcPr>
          <w:p w14:paraId="43E84C0C">
            <w:pPr>
              <w:jc w:val="center"/>
              <w:rPr>
                <w:rFonts w:hint="eastAsia" w:ascii="宋体" w:hAnsi="宋体"/>
                <w:szCs w:val="21"/>
              </w:rPr>
            </w:pPr>
          </w:p>
        </w:tc>
        <w:tc>
          <w:tcPr>
            <w:tcW w:w="638" w:type="pct"/>
            <w:noWrap w:val="0"/>
            <w:vAlign w:val="center"/>
          </w:tcPr>
          <w:p w14:paraId="42B358F0">
            <w:pPr>
              <w:jc w:val="center"/>
              <w:rPr>
                <w:rFonts w:hint="eastAsia"/>
                <w:szCs w:val="21"/>
              </w:rPr>
            </w:pPr>
            <w:r>
              <w:rPr>
                <w:rFonts w:hint="eastAsia"/>
                <w:szCs w:val="21"/>
              </w:rPr>
              <w:t>物流保障</w:t>
            </w:r>
          </w:p>
        </w:tc>
        <w:tc>
          <w:tcPr>
            <w:tcW w:w="2151" w:type="pct"/>
            <w:noWrap w:val="0"/>
            <w:vAlign w:val="top"/>
          </w:tcPr>
          <w:p w14:paraId="6E667292">
            <w:pPr>
              <w:widowControl/>
            </w:pPr>
            <w:r>
              <w:rPr>
                <w:rFonts w:hint="eastAsia"/>
              </w:rPr>
              <w:t>供应商有一定的物流运输能力，能满足不同校区期刊投送要求。供应商自有国内本地物流团队的或与其他国内物流公司有长期合作的得</w:t>
            </w:r>
            <w:r>
              <w:t>3</w:t>
            </w:r>
            <w:r>
              <w:rPr>
                <w:rFonts w:hint="eastAsia"/>
              </w:rPr>
              <w:t xml:space="preserve">分，其他情况不得分。 </w:t>
            </w:r>
          </w:p>
          <w:p w14:paraId="3CF31B12">
            <w:pPr>
              <w:widowControl/>
              <w:rPr>
                <w:rFonts w:hint="eastAsia"/>
              </w:rPr>
            </w:pPr>
            <w:r>
              <w:rPr>
                <w:rFonts w:hint="eastAsia"/>
              </w:rPr>
              <w:t>注：提供5个或以上过往客户期刊签收证明，未提供或提供不齐全不得分。</w:t>
            </w:r>
          </w:p>
        </w:tc>
        <w:tc>
          <w:tcPr>
            <w:tcW w:w="397" w:type="pct"/>
            <w:noWrap w:val="0"/>
            <w:vAlign w:val="center"/>
          </w:tcPr>
          <w:p w14:paraId="18832346">
            <w:pPr>
              <w:jc w:val="center"/>
              <w:rPr>
                <w:rFonts w:hint="eastAsia" w:ascii="宋体" w:hAnsi="宋体" w:cs="宋体"/>
                <w:szCs w:val="21"/>
              </w:rPr>
            </w:pPr>
            <w:r>
              <w:rPr>
                <w:rFonts w:hint="eastAsia" w:ascii="宋体" w:hAnsi="宋体" w:cs="宋体"/>
                <w:szCs w:val="21"/>
              </w:rPr>
              <w:t>分级评分</w:t>
            </w:r>
          </w:p>
        </w:tc>
        <w:tc>
          <w:tcPr>
            <w:tcW w:w="397" w:type="pct"/>
            <w:noWrap w:val="0"/>
            <w:vAlign w:val="center"/>
          </w:tcPr>
          <w:p w14:paraId="0F79B5DC">
            <w:pPr>
              <w:jc w:val="center"/>
              <w:rPr>
                <w:rFonts w:hint="eastAsia" w:ascii="宋体" w:hAnsi="宋体" w:cs="宋体"/>
                <w:szCs w:val="21"/>
              </w:rPr>
            </w:pPr>
            <w:r>
              <w:rPr>
                <w:rFonts w:ascii="宋体" w:hAnsi="宋体" w:cs="宋体"/>
                <w:szCs w:val="21"/>
              </w:rPr>
              <w:t>3</w:t>
            </w:r>
          </w:p>
        </w:tc>
        <w:tc>
          <w:tcPr>
            <w:tcW w:w="794" w:type="pct"/>
            <w:noWrap w:val="0"/>
            <w:vAlign w:val="center"/>
          </w:tcPr>
          <w:p w14:paraId="3B224D39">
            <w:pPr>
              <w:jc w:val="center"/>
              <w:rPr>
                <w:rFonts w:hint="eastAsia" w:ascii="宋体" w:hAnsi="宋体"/>
                <w:szCs w:val="21"/>
              </w:rPr>
            </w:pPr>
            <w:r>
              <w:rPr>
                <w:rFonts w:hint="eastAsia" w:ascii="宋体" w:hAnsi="宋体"/>
                <w:szCs w:val="21"/>
              </w:rPr>
              <w:t>0</w:t>
            </w:r>
            <w:r>
              <w:rPr>
                <w:rFonts w:ascii="宋体" w:hAnsi="宋体" w:cs="宋体"/>
                <w:szCs w:val="21"/>
              </w:rPr>
              <w:t>,3</w:t>
            </w:r>
          </w:p>
        </w:tc>
      </w:tr>
      <w:tr w14:paraId="087D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vMerge w:val="continue"/>
            <w:noWrap w:val="0"/>
            <w:vAlign w:val="top"/>
          </w:tcPr>
          <w:p w14:paraId="3FC1BD56">
            <w:pPr>
              <w:jc w:val="center"/>
              <w:rPr>
                <w:rFonts w:hint="eastAsia" w:ascii="宋体" w:hAnsi="宋体"/>
                <w:szCs w:val="21"/>
              </w:rPr>
            </w:pPr>
          </w:p>
        </w:tc>
        <w:tc>
          <w:tcPr>
            <w:tcW w:w="638" w:type="pct"/>
            <w:noWrap w:val="0"/>
            <w:vAlign w:val="center"/>
          </w:tcPr>
          <w:p w14:paraId="3563F706">
            <w:pPr>
              <w:jc w:val="center"/>
              <w:rPr>
                <w:rFonts w:hint="eastAsia"/>
                <w:szCs w:val="21"/>
              </w:rPr>
            </w:pPr>
            <w:r>
              <w:rPr>
                <w:rFonts w:hint="eastAsia"/>
                <w:szCs w:val="21"/>
              </w:rPr>
              <w:t>人员保障</w:t>
            </w:r>
          </w:p>
        </w:tc>
        <w:tc>
          <w:tcPr>
            <w:tcW w:w="2151" w:type="pct"/>
            <w:noWrap w:val="0"/>
            <w:vAlign w:val="top"/>
          </w:tcPr>
          <w:p w14:paraId="41838362">
            <w:pPr>
              <w:widowControl/>
              <w:rPr>
                <w:rFonts w:hint="eastAsia"/>
              </w:rPr>
            </w:pPr>
            <w:r>
              <w:rPr>
                <w:rFonts w:hint="eastAsia"/>
              </w:rPr>
              <w:t>根据供应商提供的拟投入的项目团队人员进行综合评审：</w:t>
            </w:r>
          </w:p>
          <w:p w14:paraId="6C7F7CEC">
            <w:pPr>
              <w:widowControl/>
            </w:pPr>
            <w:r>
              <w:rPr>
                <w:rFonts w:hint="eastAsia"/>
              </w:rPr>
              <w:t>1、拟投入团队人员≥5人，人员分工合理，且有明确的项目负责人及各类服务人员联系方式，能完全满足采购需求，得4分；</w:t>
            </w:r>
          </w:p>
          <w:p w14:paraId="4DB267A6">
            <w:pPr>
              <w:widowControl/>
            </w:pPr>
            <w:r>
              <w:rPr>
                <w:rFonts w:hint="eastAsia"/>
              </w:rPr>
              <w:t>2、2人≤拟投入团队人员≤4人，人员分工较合理，有明确的项目负责人但无各类服务人员联系方式，基本能满足采购需求，得</w:t>
            </w:r>
            <w:r>
              <w:t>2</w:t>
            </w:r>
            <w:r>
              <w:rPr>
                <w:rFonts w:hint="eastAsia"/>
              </w:rPr>
              <w:t>分；</w:t>
            </w:r>
          </w:p>
          <w:p w14:paraId="67940BC2">
            <w:pPr>
              <w:widowControl/>
              <w:rPr>
                <w:rFonts w:hint="eastAsia" w:eastAsiaTheme="minorEastAsia"/>
                <w:lang w:val="en-US" w:eastAsia="zh-CN"/>
              </w:rPr>
            </w:pPr>
            <w:r>
              <w:rPr>
                <w:rFonts w:hint="eastAsia"/>
              </w:rPr>
              <w:t>3、拟投入团队人员＜</w:t>
            </w:r>
            <w:r>
              <w:t>2</w:t>
            </w:r>
            <w:r>
              <w:rPr>
                <w:rFonts w:hint="eastAsia"/>
              </w:rPr>
              <w:t>人，不能满足采购需求，得</w:t>
            </w:r>
            <w:r>
              <w:rPr>
                <w:rFonts w:hint="eastAsia"/>
                <w:lang w:val="en-US" w:eastAsia="zh-CN"/>
              </w:rPr>
              <w:t>0</w:t>
            </w:r>
            <w:r>
              <w:rPr>
                <w:rFonts w:hint="eastAsia"/>
              </w:rPr>
              <w:t>分</w:t>
            </w:r>
            <w:r>
              <w:rPr>
                <w:rFonts w:hint="eastAsia"/>
                <w:lang w:eastAsia="zh-CN"/>
              </w:rPr>
              <w:t>。</w:t>
            </w:r>
          </w:p>
        </w:tc>
        <w:tc>
          <w:tcPr>
            <w:tcW w:w="397" w:type="pct"/>
            <w:noWrap w:val="0"/>
            <w:vAlign w:val="center"/>
          </w:tcPr>
          <w:p w14:paraId="006ACF91">
            <w:pPr>
              <w:jc w:val="center"/>
              <w:rPr>
                <w:rFonts w:hint="eastAsia" w:ascii="宋体" w:hAnsi="宋体" w:cs="宋体"/>
                <w:szCs w:val="21"/>
              </w:rPr>
            </w:pPr>
            <w:r>
              <w:rPr>
                <w:szCs w:val="21"/>
              </w:rPr>
              <w:t>分级评分</w:t>
            </w:r>
          </w:p>
        </w:tc>
        <w:tc>
          <w:tcPr>
            <w:tcW w:w="397" w:type="pct"/>
            <w:noWrap w:val="0"/>
            <w:vAlign w:val="center"/>
          </w:tcPr>
          <w:p w14:paraId="75BE42DD">
            <w:pPr>
              <w:jc w:val="center"/>
              <w:rPr>
                <w:rFonts w:hint="eastAsia" w:ascii="宋体" w:hAnsi="宋体" w:cs="宋体"/>
                <w:szCs w:val="21"/>
              </w:rPr>
            </w:pPr>
            <w:r>
              <w:rPr>
                <w:rFonts w:hint="eastAsia" w:ascii="宋体" w:hAnsi="宋体" w:cs="宋体"/>
                <w:szCs w:val="21"/>
              </w:rPr>
              <w:t>4</w:t>
            </w:r>
          </w:p>
        </w:tc>
        <w:tc>
          <w:tcPr>
            <w:tcW w:w="794" w:type="pct"/>
            <w:noWrap w:val="0"/>
            <w:vAlign w:val="center"/>
          </w:tcPr>
          <w:p w14:paraId="16E88E62">
            <w:pPr>
              <w:jc w:val="center"/>
              <w:rPr>
                <w:rFonts w:hint="eastAsia" w:ascii="宋体" w:hAnsi="宋体"/>
                <w:szCs w:val="21"/>
              </w:rPr>
            </w:pPr>
            <w:r>
              <w:rPr>
                <w:rFonts w:hint="eastAsia" w:ascii="宋体" w:hAnsi="宋体" w:cs="宋体"/>
                <w:szCs w:val="21"/>
              </w:rPr>
              <w:t>0</w:t>
            </w:r>
            <w:r>
              <w:rPr>
                <w:rFonts w:ascii="宋体" w:hAnsi="宋体"/>
                <w:szCs w:val="21"/>
              </w:rPr>
              <w:t>,2,</w:t>
            </w:r>
            <w:r>
              <w:rPr>
                <w:rFonts w:hint="eastAsia" w:ascii="宋体" w:hAnsi="宋体"/>
                <w:szCs w:val="21"/>
              </w:rPr>
              <w:t>4</w:t>
            </w:r>
          </w:p>
        </w:tc>
      </w:tr>
      <w:tr w14:paraId="62BF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vMerge w:val="continue"/>
            <w:noWrap w:val="0"/>
            <w:vAlign w:val="top"/>
          </w:tcPr>
          <w:p w14:paraId="72A41F97">
            <w:pPr>
              <w:jc w:val="center"/>
              <w:rPr>
                <w:rFonts w:hint="eastAsia" w:ascii="宋体" w:hAnsi="宋体"/>
                <w:szCs w:val="21"/>
              </w:rPr>
            </w:pPr>
          </w:p>
        </w:tc>
        <w:tc>
          <w:tcPr>
            <w:tcW w:w="638" w:type="pct"/>
            <w:noWrap w:val="0"/>
            <w:vAlign w:val="center"/>
          </w:tcPr>
          <w:p w14:paraId="55FBEA93">
            <w:pPr>
              <w:jc w:val="center"/>
              <w:rPr>
                <w:szCs w:val="21"/>
              </w:rPr>
            </w:pPr>
            <w:r>
              <w:rPr>
                <w:rFonts w:hint="eastAsia"/>
                <w:szCs w:val="21"/>
              </w:rPr>
              <w:t>同类业绩</w:t>
            </w:r>
          </w:p>
        </w:tc>
        <w:tc>
          <w:tcPr>
            <w:tcW w:w="2151" w:type="pct"/>
            <w:noWrap w:val="0"/>
            <w:vAlign w:val="top"/>
          </w:tcPr>
          <w:p w14:paraId="30AF61FA">
            <w:pPr>
              <w:rPr>
                <w:rFonts w:hint="eastAsia" w:ascii="宋体" w:hAnsi="宋体"/>
                <w:szCs w:val="21"/>
              </w:rPr>
            </w:pPr>
            <w:r>
              <w:rPr>
                <w:rFonts w:hint="eastAsia" w:ascii="宋体" w:hAnsi="宋体"/>
                <w:szCs w:val="21"/>
              </w:rPr>
              <w:t>根据供应商提供的自202</w:t>
            </w:r>
            <w:r>
              <w:rPr>
                <w:rFonts w:hint="eastAsia" w:ascii="宋体" w:hAnsi="宋体"/>
                <w:szCs w:val="21"/>
                <w:lang w:val="en-US" w:eastAsia="zh-CN"/>
              </w:rPr>
              <w:t>2</w:t>
            </w:r>
            <w:r>
              <w:rPr>
                <w:rFonts w:hint="eastAsia" w:ascii="宋体" w:hAnsi="宋体"/>
                <w:szCs w:val="21"/>
              </w:rPr>
              <w:t>年1月1日至今的同类型项目（进口期刊配送）业绩情况进行评审：</w:t>
            </w:r>
          </w:p>
          <w:p w14:paraId="066A0C4B">
            <w:pPr>
              <w:rPr>
                <w:rFonts w:hint="eastAsia" w:ascii="宋体" w:hAnsi="宋体"/>
                <w:szCs w:val="21"/>
              </w:rPr>
            </w:pPr>
            <w:r>
              <w:rPr>
                <w:rFonts w:hint="eastAsia" w:ascii="宋体" w:hAnsi="宋体"/>
                <w:szCs w:val="21"/>
              </w:rPr>
              <w:t>每提供一份同类型项目（进口期刊配送）业绩，得</w:t>
            </w:r>
            <w:r>
              <w:rPr>
                <w:rFonts w:hint="eastAsia" w:ascii="宋体" w:hAnsi="宋体"/>
                <w:szCs w:val="21"/>
                <w:lang w:val="en-US" w:eastAsia="zh-CN"/>
              </w:rPr>
              <w:t>1</w:t>
            </w:r>
            <w:r>
              <w:rPr>
                <w:rFonts w:hint="eastAsia" w:ascii="宋体" w:hAnsi="宋体"/>
                <w:szCs w:val="21"/>
              </w:rPr>
              <w:t>分，满分为10分。</w:t>
            </w:r>
          </w:p>
          <w:p w14:paraId="2A5747F1">
            <w:pPr>
              <w:rPr>
                <w:rFonts w:hint="eastAsia" w:ascii="宋体" w:hAnsi="宋体"/>
                <w:szCs w:val="21"/>
              </w:rPr>
            </w:pPr>
            <w:r>
              <w:rPr>
                <w:rFonts w:hint="eastAsia" w:ascii="宋体" w:hAnsi="宋体"/>
                <w:szCs w:val="21"/>
              </w:rPr>
              <w:t>注：（1）须提供合同关键页（含项目名称、项目内容、甲乙双方签字盖章页）盖章扫描件，未提供不得分；（2）同一客户单位算一份业绩。</w:t>
            </w:r>
          </w:p>
        </w:tc>
        <w:tc>
          <w:tcPr>
            <w:tcW w:w="397" w:type="pct"/>
            <w:noWrap w:val="0"/>
            <w:vAlign w:val="center"/>
          </w:tcPr>
          <w:p w14:paraId="57101AA9">
            <w:pPr>
              <w:jc w:val="center"/>
              <w:rPr>
                <w:rFonts w:hint="eastAsia"/>
                <w:szCs w:val="21"/>
              </w:rPr>
            </w:pPr>
            <w:r>
              <w:rPr>
                <w:rFonts w:hint="eastAsia" w:ascii="宋体" w:hAnsi="宋体" w:cs="宋体"/>
                <w:szCs w:val="21"/>
              </w:rPr>
              <w:t>区间评分</w:t>
            </w:r>
          </w:p>
        </w:tc>
        <w:tc>
          <w:tcPr>
            <w:tcW w:w="397" w:type="pct"/>
            <w:noWrap w:val="0"/>
            <w:vAlign w:val="center"/>
          </w:tcPr>
          <w:p w14:paraId="4E2F2D24">
            <w:pPr>
              <w:jc w:val="center"/>
              <w:rPr>
                <w:rFonts w:hint="eastAsia"/>
                <w:szCs w:val="21"/>
              </w:rPr>
            </w:pPr>
            <w:r>
              <w:rPr>
                <w:rFonts w:hint="eastAsia"/>
                <w:szCs w:val="21"/>
              </w:rPr>
              <w:t>1</w:t>
            </w:r>
            <w:r>
              <w:rPr>
                <w:szCs w:val="21"/>
              </w:rPr>
              <w:t>0</w:t>
            </w:r>
          </w:p>
        </w:tc>
        <w:tc>
          <w:tcPr>
            <w:tcW w:w="794" w:type="pct"/>
            <w:noWrap w:val="0"/>
            <w:vAlign w:val="center"/>
          </w:tcPr>
          <w:p w14:paraId="31EF6835">
            <w:pPr>
              <w:jc w:val="center"/>
              <w:rPr>
                <w:rFonts w:hint="eastAsia" w:ascii="宋体" w:hAnsi="宋体"/>
                <w:szCs w:val="21"/>
              </w:rPr>
            </w:pPr>
            <w:r>
              <w:rPr>
                <w:rFonts w:hint="eastAsia" w:ascii="宋体" w:hAnsi="宋体"/>
                <w:szCs w:val="21"/>
              </w:rPr>
              <w:t>0</w:t>
            </w:r>
            <w:r>
              <w:rPr>
                <w:rFonts w:ascii="宋体" w:hAnsi="宋体" w:cs="宋体"/>
                <w:szCs w:val="21"/>
              </w:rPr>
              <w:t>~</w:t>
            </w:r>
            <w:r>
              <w:rPr>
                <w:rFonts w:ascii="宋体" w:hAnsi="宋体"/>
                <w:szCs w:val="21"/>
              </w:rPr>
              <w:t>10</w:t>
            </w:r>
          </w:p>
        </w:tc>
      </w:tr>
      <w:tr w14:paraId="6068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2" w:type="pct"/>
            <w:vMerge w:val="continue"/>
            <w:noWrap w:val="0"/>
            <w:vAlign w:val="top"/>
          </w:tcPr>
          <w:p w14:paraId="3C5110C6">
            <w:pPr>
              <w:jc w:val="center"/>
              <w:rPr>
                <w:rFonts w:hint="eastAsia" w:ascii="宋体" w:hAnsi="宋体"/>
                <w:szCs w:val="21"/>
              </w:rPr>
            </w:pPr>
          </w:p>
        </w:tc>
        <w:tc>
          <w:tcPr>
            <w:tcW w:w="638" w:type="pct"/>
            <w:noWrap w:val="0"/>
            <w:vAlign w:val="center"/>
          </w:tcPr>
          <w:p w14:paraId="2E10DEDB">
            <w:pPr>
              <w:jc w:val="center"/>
              <w:rPr>
                <w:rFonts w:hint="eastAsia" w:ascii="宋体" w:hAnsi="宋体"/>
                <w:szCs w:val="21"/>
              </w:rPr>
            </w:pPr>
            <w:r>
              <w:rPr>
                <w:rFonts w:hint="eastAsia" w:ascii="宋体" w:hAnsi="宋体" w:cs="宋体"/>
                <w:szCs w:val="21"/>
              </w:rPr>
              <w:t>用户评价</w:t>
            </w:r>
          </w:p>
        </w:tc>
        <w:tc>
          <w:tcPr>
            <w:tcW w:w="2151" w:type="pct"/>
            <w:noWrap w:val="0"/>
            <w:vAlign w:val="top"/>
          </w:tcPr>
          <w:p w14:paraId="3C28AC5C">
            <w:pPr>
              <w:rPr>
                <w:rFonts w:hint="eastAsia" w:ascii="宋体" w:hAnsi="宋体"/>
                <w:szCs w:val="21"/>
              </w:rPr>
            </w:pPr>
            <w:r>
              <w:rPr>
                <w:rFonts w:hint="eastAsia" w:ascii="宋体" w:hAnsi="宋体"/>
                <w:szCs w:val="21"/>
              </w:rPr>
              <w:t>根据供应商提供的上述有效业绩中的业主单位作出的供货和服务评价表情况进行评审：</w:t>
            </w:r>
          </w:p>
          <w:p w14:paraId="69E49510">
            <w:pPr>
              <w:rPr>
                <w:rFonts w:hint="eastAsia" w:ascii="宋体" w:hAnsi="宋体"/>
                <w:szCs w:val="21"/>
              </w:rPr>
            </w:pPr>
            <w:r>
              <w:rPr>
                <w:rFonts w:hint="eastAsia" w:ascii="宋体" w:hAnsi="宋体"/>
                <w:szCs w:val="21"/>
              </w:rPr>
              <w:t>每提供一份用户评价，得</w:t>
            </w:r>
            <w:r>
              <w:rPr>
                <w:rFonts w:hint="eastAsia" w:ascii="宋体" w:hAnsi="宋体"/>
                <w:szCs w:val="21"/>
                <w:lang w:val="en-US" w:eastAsia="zh-CN"/>
              </w:rPr>
              <w:t>1</w:t>
            </w:r>
            <w:r>
              <w:rPr>
                <w:rFonts w:hint="eastAsia" w:ascii="宋体" w:hAnsi="宋体"/>
                <w:szCs w:val="21"/>
              </w:rPr>
              <w:t>分，满分为</w:t>
            </w:r>
            <w:r>
              <w:rPr>
                <w:rFonts w:hint="eastAsia" w:ascii="宋体" w:hAnsi="宋体"/>
                <w:szCs w:val="21"/>
                <w:lang w:val="en-US" w:eastAsia="zh-CN"/>
              </w:rPr>
              <w:t>5</w:t>
            </w:r>
            <w:r>
              <w:rPr>
                <w:rFonts w:hint="eastAsia" w:ascii="宋体" w:hAnsi="宋体"/>
                <w:szCs w:val="21"/>
              </w:rPr>
              <w:t>分。</w:t>
            </w:r>
          </w:p>
          <w:p w14:paraId="425362F7">
            <w:pPr>
              <w:rPr>
                <w:rFonts w:hint="eastAsia" w:ascii="宋体" w:hAnsi="宋体"/>
                <w:szCs w:val="21"/>
              </w:rPr>
            </w:pPr>
            <w:r>
              <w:rPr>
                <w:rFonts w:hint="eastAsia" w:ascii="宋体" w:hAnsi="宋体"/>
                <w:szCs w:val="21"/>
              </w:rPr>
              <w:t>注：</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须提供用户评价材料复印件，评价材料必须达到90分或带有“满意”或“好评”或“优秀”或“达到用户需求要求”等相关正面评价字眼</w:t>
            </w:r>
            <w:r>
              <w:rPr>
                <w:rFonts w:hint="eastAsia" w:ascii="宋体" w:hAnsi="宋体"/>
                <w:szCs w:val="21"/>
                <w:lang w:eastAsia="zh-CN"/>
              </w:rPr>
              <w:t>，否则不得分</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评价材料必须与上述有效业绩相对应，否则不得分。</w:t>
            </w:r>
          </w:p>
        </w:tc>
        <w:tc>
          <w:tcPr>
            <w:tcW w:w="397" w:type="pct"/>
            <w:noWrap w:val="0"/>
            <w:vAlign w:val="center"/>
          </w:tcPr>
          <w:p w14:paraId="613A238D">
            <w:pPr>
              <w:jc w:val="center"/>
              <w:rPr>
                <w:rFonts w:hint="eastAsia"/>
                <w:szCs w:val="21"/>
              </w:rPr>
            </w:pPr>
            <w:r>
              <w:rPr>
                <w:rFonts w:hint="eastAsia" w:ascii="宋体" w:hAnsi="宋体" w:cs="宋体"/>
                <w:szCs w:val="21"/>
              </w:rPr>
              <w:t>分级评分</w:t>
            </w:r>
          </w:p>
        </w:tc>
        <w:tc>
          <w:tcPr>
            <w:tcW w:w="397" w:type="pct"/>
            <w:noWrap w:val="0"/>
            <w:vAlign w:val="center"/>
          </w:tcPr>
          <w:p w14:paraId="1A95066C">
            <w:pPr>
              <w:jc w:val="center"/>
              <w:rPr>
                <w:rFonts w:hint="eastAsia"/>
                <w:szCs w:val="21"/>
              </w:rPr>
            </w:pPr>
            <w:r>
              <w:rPr>
                <w:szCs w:val="21"/>
              </w:rPr>
              <w:t>5</w:t>
            </w:r>
          </w:p>
        </w:tc>
        <w:tc>
          <w:tcPr>
            <w:tcW w:w="794" w:type="pct"/>
            <w:noWrap w:val="0"/>
            <w:vAlign w:val="center"/>
          </w:tcPr>
          <w:p w14:paraId="1E3CDFEA">
            <w:pPr>
              <w:jc w:val="center"/>
              <w:rPr>
                <w:rFonts w:hint="eastAsia" w:ascii="宋体" w:hAnsi="宋体"/>
                <w:szCs w:val="21"/>
              </w:rPr>
            </w:pPr>
            <w:r>
              <w:rPr>
                <w:rFonts w:hint="eastAsia" w:ascii="宋体" w:hAnsi="宋体"/>
                <w:szCs w:val="21"/>
              </w:rPr>
              <w:t>0</w:t>
            </w:r>
            <w:r>
              <w:rPr>
                <w:rFonts w:ascii="宋体" w:hAnsi="宋体" w:cs="宋体"/>
                <w:szCs w:val="21"/>
              </w:rPr>
              <w:t>~5</w:t>
            </w:r>
          </w:p>
        </w:tc>
      </w:tr>
    </w:tbl>
    <w:p w14:paraId="61C5B8E1">
      <w:pPr>
        <w:pStyle w:val="2"/>
        <w:rPr>
          <w:rFonts w:hint="eastAsia" w:hAnsi="宋体"/>
          <w:b/>
          <w:bCs/>
          <w:color w:val="0000FF"/>
          <w:sz w:val="28"/>
          <w:szCs w:val="28"/>
          <w:highlight w:val="yellow"/>
          <w:lang w:val="en-US" w:eastAsia="zh-CN"/>
        </w:rPr>
      </w:pPr>
    </w:p>
    <w:p w14:paraId="05E2D85F">
      <w:pPr>
        <w:pStyle w:val="2"/>
        <w:rPr>
          <w:rFonts w:hint="eastAsia" w:hAnsi="宋体"/>
          <w:b/>
          <w:bCs/>
          <w:color w:val="0000FF"/>
          <w:sz w:val="28"/>
          <w:szCs w:val="28"/>
          <w:highlight w:val="yellow"/>
          <w:lang w:val="en-US" w:eastAsia="zh-CN"/>
        </w:rPr>
      </w:pPr>
    </w:p>
    <w:p w14:paraId="07F14FB3">
      <w:pPr>
        <w:pStyle w:val="2"/>
        <w:rPr>
          <w:rFonts w:hint="eastAsia" w:hAnsi="宋体"/>
          <w:b/>
          <w:bCs/>
          <w:color w:val="0000FF"/>
          <w:sz w:val="28"/>
          <w:szCs w:val="28"/>
          <w:highlight w:val="yellow"/>
          <w:lang w:val="en-US" w:eastAsia="zh-CN"/>
        </w:rPr>
      </w:pPr>
    </w:p>
    <w:p w14:paraId="165C1195">
      <w:pPr>
        <w:rPr>
          <w:u w:val="none"/>
        </w:rPr>
      </w:pPr>
      <w:bookmarkStart w:id="3" w:name="gxebd_pack_1_EvalFactorScoreEnd"/>
      <w:bookmarkEnd w:id="3"/>
    </w:p>
    <w:p w14:paraId="0D9386AE">
      <w:pPr>
        <w:numPr>
          <w:ilvl w:val="0"/>
          <w:numId w:val="0"/>
        </w:numPr>
        <w:jc w:val="both"/>
        <w:rPr>
          <w:rFonts w:hint="eastAsia" w:hAnsi="宋体"/>
          <w:b/>
          <w:bCs/>
          <w:color w:val="000000"/>
          <w:sz w:val="28"/>
          <w:szCs w:val="28"/>
          <w:lang w:val="en-US" w:eastAsia="zh-CN"/>
        </w:rPr>
      </w:pPr>
    </w:p>
    <w:p w14:paraId="39FB6B9C">
      <w:pPr>
        <w:numPr>
          <w:ilvl w:val="0"/>
          <w:numId w:val="0"/>
        </w:numPr>
        <w:jc w:val="both"/>
        <w:rPr>
          <w:rFonts w:hint="eastAsia" w:hAnsi="宋体"/>
          <w:b/>
          <w:bCs/>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CA977"/>
    <w:multiLevelType w:val="singleLevel"/>
    <w:tmpl w:val="D43CA977"/>
    <w:lvl w:ilvl="0" w:tentative="0">
      <w:start w:val="1"/>
      <w:numFmt w:val="decimal"/>
      <w:suff w:val="space"/>
      <w:lvlText w:val="%1."/>
      <w:lvlJc w:val="left"/>
    </w:lvl>
  </w:abstractNum>
  <w:abstractNum w:abstractNumId="1">
    <w:nsid w:val="EE18024D"/>
    <w:multiLevelType w:val="singleLevel"/>
    <w:tmpl w:val="EE18024D"/>
    <w:lvl w:ilvl="0" w:tentative="0">
      <w:start w:val="1"/>
      <w:numFmt w:val="decimal"/>
      <w:suff w:val="nothing"/>
      <w:lvlText w:val="%1、"/>
      <w:lvlJc w:val="left"/>
    </w:lvl>
  </w:abstractNum>
  <w:abstractNum w:abstractNumId="2">
    <w:nsid w:val="0B170538"/>
    <w:multiLevelType w:val="singleLevel"/>
    <w:tmpl w:val="0B17053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A1DA0"/>
    <w:rsid w:val="00824069"/>
    <w:rsid w:val="009F4C1B"/>
    <w:rsid w:val="0223609D"/>
    <w:rsid w:val="02C170CB"/>
    <w:rsid w:val="02F92D08"/>
    <w:rsid w:val="0328539C"/>
    <w:rsid w:val="05412745"/>
    <w:rsid w:val="060317A8"/>
    <w:rsid w:val="060D37A3"/>
    <w:rsid w:val="064F49ED"/>
    <w:rsid w:val="067D428F"/>
    <w:rsid w:val="083E11BD"/>
    <w:rsid w:val="08F63846"/>
    <w:rsid w:val="0A122902"/>
    <w:rsid w:val="0B183F48"/>
    <w:rsid w:val="0B6E7AA2"/>
    <w:rsid w:val="0BF57DE5"/>
    <w:rsid w:val="0C122745"/>
    <w:rsid w:val="0CCD6F8E"/>
    <w:rsid w:val="0D4508F8"/>
    <w:rsid w:val="0E455760"/>
    <w:rsid w:val="0F056591"/>
    <w:rsid w:val="0FE14D9F"/>
    <w:rsid w:val="10826665"/>
    <w:rsid w:val="10A83678"/>
    <w:rsid w:val="111520AA"/>
    <w:rsid w:val="11A6405B"/>
    <w:rsid w:val="11B50684"/>
    <w:rsid w:val="12135469"/>
    <w:rsid w:val="129245E0"/>
    <w:rsid w:val="13166FBF"/>
    <w:rsid w:val="14641FAC"/>
    <w:rsid w:val="14983A03"/>
    <w:rsid w:val="14CF5677"/>
    <w:rsid w:val="15384B46"/>
    <w:rsid w:val="164D0F49"/>
    <w:rsid w:val="16C84A74"/>
    <w:rsid w:val="16EC1587"/>
    <w:rsid w:val="17465999"/>
    <w:rsid w:val="18F7208D"/>
    <w:rsid w:val="19B80DD0"/>
    <w:rsid w:val="1A7F18ED"/>
    <w:rsid w:val="1BCE7BA1"/>
    <w:rsid w:val="1C4A7CD9"/>
    <w:rsid w:val="1C536B8E"/>
    <w:rsid w:val="1ED32208"/>
    <w:rsid w:val="20605D1D"/>
    <w:rsid w:val="207812B9"/>
    <w:rsid w:val="21236E13"/>
    <w:rsid w:val="21240AF9"/>
    <w:rsid w:val="214967B1"/>
    <w:rsid w:val="21F66939"/>
    <w:rsid w:val="224277B3"/>
    <w:rsid w:val="22F94FDE"/>
    <w:rsid w:val="24AC7783"/>
    <w:rsid w:val="27FF406E"/>
    <w:rsid w:val="285E03E3"/>
    <w:rsid w:val="2A682917"/>
    <w:rsid w:val="2AFE060C"/>
    <w:rsid w:val="2B381D70"/>
    <w:rsid w:val="2B6366C1"/>
    <w:rsid w:val="2D067C4C"/>
    <w:rsid w:val="316B2774"/>
    <w:rsid w:val="32A658FC"/>
    <w:rsid w:val="33B977C6"/>
    <w:rsid w:val="346E05B1"/>
    <w:rsid w:val="37E868CC"/>
    <w:rsid w:val="38D17360"/>
    <w:rsid w:val="39846181"/>
    <w:rsid w:val="3AFA0DF0"/>
    <w:rsid w:val="3B9308FD"/>
    <w:rsid w:val="3BBD3BCC"/>
    <w:rsid w:val="3C9568F7"/>
    <w:rsid w:val="3DED384A"/>
    <w:rsid w:val="3F316CDE"/>
    <w:rsid w:val="3FCA4B09"/>
    <w:rsid w:val="405014B2"/>
    <w:rsid w:val="425012F6"/>
    <w:rsid w:val="428B4A24"/>
    <w:rsid w:val="42B06238"/>
    <w:rsid w:val="43C55D14"/>
    <w:rsid w:val="455A1DA0"/>
    <w:rsid w:val="45E31FBB"/>
    <w:rsid w:val="45EA1A61"/>
    <w:rsid w:val="483D45DA"/>
    <w:rsid w:val="48A91760"/>
    <w:rsid w:val="4A9E2E1A"/>
    <w:rsid w:val="4C8F3363"/>
    <w:rsid w:val="4ED27537"/>
    <w:rsid w:val="4FA90297"/>
    <w:rsid w:val="510734AA"/>
    <w:rsid w:val="52941517"/>
    <w:rsid w:val="5334431C"/>
    <w:rsid w:val="55A559A5"/>
    <w:rsid w:val="565847C5"/>
    <w:rsid w:val="56EC1F02"/>
    <w:rsid w:val="570404A9"/>
    <w:rsid w:val="579637F7"/>
    <w:rsid w:val="583F5C3D"/>
    <w:rsid w:val="597731B4"/>
    <w:rsid w:val="59EF3692"/>
    <w:rsid w:val="5A2E7D17"/>
    <w:rsid w:val="5C715103"/>
    <w:rsid w:val="5E3E24F3"/>
    <w:rsid w:val="5EA762EA"/>
    <w:rsid w:val="608A7C71"/>
    <w:rsid w:val="610C68D8"/>
    <w:rsid w:val="61AA78B0"/>
    <w:rsid w:val="61E82EA1"/>
    <w:rsid w:val="634467FD"/>
    <w:rsid w:val="63BA6ABF"/>
    <w:rsid w:val="65165F77"/>
    <w:rsid w:val="65183A9D"/>
    <w:rsid w:val="65474383"/>
    <w:rsid w:val="65E676F8"/>
    <w:rsid w:val="660E4EA0"/>
    <w:rsid w:val="664408C2"/>
    <w:rsid w:val="67312331"/>
    <w:rsid w:val="687C0A21"/>
    <w:rsid w:val="699F6438"/>
    <w:rsid w:val="69D53BAF"/>
    <w:rsid w:val="6AB37DC4"/>
    <w:rsid w:val="6B92773C"/>
    <w:rsid w:val="6D415B5B"/>
    <w:rsid w:val="6F3A0AB4"/>
    <w:rsid w:val="70972B53"/>
    <w:rsid w:val="71C1726B"/>
    <w:rsid w:val="72F378F8"/>
    <w:rsid w:val="7318735E"/>
    <w:rsid w:val="7349576A"/>
    <w:rsid w:val="748C590E"/>
    <w:rsid w:val="751F49D4"/>
    <w:rsid w:val="76377AFB"/>
    <w:rsid w:val="773C186D"/>
    <w:rsid w:val="77727869"/>
    <w:rsid w:val="782F4F2E"/>
    <w:rsid w:val="796E35ED"/>
    <w:rsid w:val="79B25E17"/>
    <w:rsid w:val="7B000E04"/>
    <w:rsid w:val="7C084414"/>
    <w:rsid w:val="7C52743D"/>
    <w:rsid w:val="7D1D472F"/>
    <w:rsid w:val="7DF3515E"/>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Cs w:val="20"/>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5027</Words>
  <Characters>5152</Characters>
  <Lines>0</Lines>
  <Paragraphs>0</Paragraphs>
  <TotalTime>2</TotalTime>
  <ScaleCrop>false</ScaleCrop>
  <LinksUpToDate>false</LinksUpToDate>
  <CharactersWithSpaces>5157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2025-06-17T03:58:00Z</dcterms:created>
  <dc:creator>黄洁</dc:creator>
  <cp:lastModifiedBy>黄洁</cp:lastModifiedBy>
  <dcterms:modified xsi:type="dcterms:W3CDTF">2025-06-24T04:13:21Z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BD6721018C3F4045977D58D52F3241FF_11</vt:lpwstr>
  </property>
  <property fmtid="{D5CDD505-2E9C-101B-9397-08002B2CF9AE}" pid="4" name="KSOTemplateDocerSaveRecord">
    <vt:lpwstr>eyJoZGlkIjoiZTk3NTNhZjBmYzk5OGZhZjdiMmNhZjUzMzBlMjY1ZWUiLCJ1c2VySWQiOiI0MzE1MTQ2MjMifQ==</vt:lpwstr>
  </property>
</Properties>
</file>