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DF51">
      <w:pPr>
        <w:jc w:val="center"/>
        <w:rPr>
          <w:rFonts w:hint="eastAsia" w:ascii="微软雅黑" w:hAnsi="微软雅黑" w:eastAsia="微软雅黑"/>
          <w:b/>
          <w:bCs/>
          <w:sz w:val="32"/>
          <w:szCs w:val="32"/>
        </w:rPr>
      </w:pPr>
      <w:bookmarkStart w:id="4" w:name="_GoBack"/>
      <w:bookmarkEnd w:id="4"/>
      <w:r>
        <w:rPr>
          <w:rFonts w:hint="eastAsia" w:ascii="微软雅黑" w:hAnsi="微软雅黑" w:eastAsia="微软雅黑"/>
          <w:b/>
          <w:bCs/>
          <w:sz w:val="32"/>
          <w:szCs w:val="32"/>
        </w:rPr>
        <w:t>2025年华南理工大学外国教材中心进口图书供应商资格</w:t>
      </w:r>
    </w:p>
    <w:p w14:paraId="4A2914C2">
      <w:pPr>
        <w:jc w:val="center"/>
        <w:rPr>
          <w:rFonts w:hint="eastAsia" w:ascii="微软雅黑" w:hAnsi="微软雅黑" w:eastAsia="微软雅黑"/>
          <w:b/>
          <w:bCs/>
          <w:sz w:val="32"/>
          <w:szCs w:val="32"/>
        </w:rPr>
      </w:pPr>
      <w:r>
        <w:rPr>
          <w:rFonts w:hint="eastAsia" w:ascii="微软雅黑" w:hAnsi="微软雅黑" w:eastAsia="微软雅黑"/>
          <w:b/>
          <w:bCs/>
          <w:sz w:val="32"/>
          <w:szCs w:val="32"/>
        </w:rPr>
        <w:t>服务项目需求书及评审标准</w:t>
      </w:r>
    </w:p>
    <w:p w14:paraId="75C365C1">
      <w:pPr>
        <w:pStyle w:val="37"/>
        <w:spacing w:line="360" w:lineRule="auto"/>
        <w:ind w:firstLine="420" w:firstLineChars="200"/>
        <w:jc w:val="both"/>
        <w:textAlignment w:val="center"/>
        <w:rPr>
          <w:rFonts w:hint="eastAsia" w:hAnsi="宋体"/>
          <w:sz w:val="21"/>
          <w:szCs w:val="21"/>
        </w:rPr>
      </w:pPr>
    </w:p>
    <w:p w14:paraId="2645BE9A">
      <w:pPr>
        <w:jc w:val="left"/>
        <w:rPr>
          <w:rFonts w:hint="eastAsia" w:ascii="宋体" w:hAnsi="宋体" w:eastAsia="宋体" w:cs="宋体"/>
          <w:b/>
          <w:kern w:val="0"/>
          <w:szCs w:val="21"/>
        </w:rPr>
      </w:pPr>
      <w:r>
        <w:rPr>
          <w:rFonts w:hint="eastAsia" w:ascii="宋体" w:hAnsi="宋体" w:eastAsia="宋体" w:cs="宋体"/>
          <w:b/>
          <w:kern w:val="0"/>
          <w:szCs w:val="21"/>
        </w:rPr>
        <w:t>一、项目基本要求：</w:t>
      </w:r>
    </w:p>
    <w:p w14:paraId="5CADED7D">
      <w:pPr>
        <w:pStyle w:val="37"/>
        <w:spacing w:line="360" w:lineRule="auto"/>
        <w:jc w:val="both"/>
        <w:textAlignment w:val="center"/>
        <w:rPr>
          <w:rFonts w:hint="eastAsia" w:hAnsi="宋体"/>
          <w:sz w:val="21"/>
          <w:szCs w:val="21"/>
        </w:rPr>
      </w:pPr>
      <w:r>
        <w:rPr>
          <w:rFonts w:hAnsi="宋体"/>
          <w:sz w:val="21"/>
          <w:szCs w:val="21"/>
        </w:rPr>
        <w:t>1.</w:t>
      </w:r>
      <w:r>
        <w:rPr>
          <w:rFonts w:hint="eastAsia" w:hAnsi="宋体"/>
          <w:sz w:val="21"/>
          <w:szCs w:val="21"/>
        </w:rPr>
        <w:t>项目概况：</w:t>
      </w:r>
    </w:p>
    <w:p w14:paraId="177CC28F">
      <w:pPr>
        <w:autoSpaceDE w:val="0"/>
        <w:autoSpaceDN w:val="0"/>
        <w:spacing w:line="360" w:lineRule="auto"/>
        <w:ind w:left="315" w:hanging="315" w:hangingChars="150"/>
        <w:textAlignment w:val="bottom"/>
        <w:rPr>
          <w:rFonts w:hint="eastAsia" w:ascii="宋体" w:hAnsi="宋体" w:eastAsia="宋体" w:cs="宋体"/>
          <w:szCs w:val="21"/>
          <w:lang w:bidi="ar"/>
        </w:rPr>
      </w:pPr>
      <w:r>
        <w:rPr>
          <w:rFonts w:hint="eastAsia" w:ascii="宋体" w:hAnsi="宋体" w:eastAsia="宋体" w:cs="宋体"/>
          <w:szCs w:val="21"/>
          <w:lang w:bidi="ar"/>
        </w:rPr>
        <w:t>1.1 为进一步构建化工类外国教学资源保障系统，推动我国化工类高校教材建设与教学质量提升，由华南理工大学图书馆为外国教材中心采购一批进口图书，拟遴选1家进口图书供应商，由其提供相应服务。具体事项公告如下：</w:t>
      </w:r>
    </w:p>
    <w:p w14:paraId="775ACF0C">
      <w:pPr>
        <w:autoSpaceDE w:val="0"/>
        <w:autoSpaceDN w:val="0"/>
        <w:spacing w:line="360" w:lineRule="auto"/>
        <w:ind w:left="315" w:hanging="315" w:hangingChars="150"/>
        <w:textAlignment w:val="bottom"/>
        <w:rPr>
          <w:rFonts w:hint="eastAsia" w:ascii="宋体" w:hAnsi="宋体" w:eastAsia="宋体" w:cs="宋体"/>
          <w:szCs w:val="21"/>
          <w:lang w:bidi="ar"/>
        </w:rPr>
      </w:pPr>
      <w:r>
        <w:rPr>
          <w:rFonts w:hint="eastAsia" w:ascii="宋体" w:hAnsi="宋体" w:eastAsia="宋体" w:cs="宋体"/>
          <w:szCs w:val="21"/>
          <w:lang w:bidi="ar"/>
        </w:rPr>
        <w:t>1.2 本次外国教材中心进口图书供应商资格服务项目遴选，服务内容为进口图书综合馆配服务，遴选 1 家进口图书供应商。</w:t>
      </w:r>
    </w:p>
    <w:tbl>
      <w:tblPr>
        <w:tblStyle w:val="16"/>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984"/>
        <w:gridCol w:w="1985"/>
      </w:tblGrid>
      <w:tr w14:paraId="16C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504789CD">
            <w:pPr>
              <w:pStyle w:val="14"/>
              <w:widowControl w:val="0"/>
              <w:spacing w:before="0" w:beforeAutospacing="0" w:after="0" w:afterAutospacing="0"/>
              <w:jc w:val="center"/>
              <w:rPr>
                <w:rFonts w:hint="eastAsia"/>
                <w:b/>
                <w:sz w:val="21"/>
                <w:szCs w:val="21"/>
              </w:rPr>
            </w:pPr>
            <w:r>
              <w:rPr>
                <w:rFonts w:hint="eastAsia"/>
                <w:b/>
                <w:kern w:val="2"/>
                <w:sz w:val="21"/>
                <w:szCs w:val="21"/>
                <w:lang w:bidi="ar"/>
              </w:rPr>
              <w:t>服务内容</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7E4DF2">
            <w:pPr>
              <w:pStyle w:val="14"/>
              <w:widowControl w:val="0"/>
              <w:spacing w:before="0" w:beforeAutospacing="0" w:after="0" w:afterAutospacing="0"/>
              <w:jc w:val="center"/>
              <w:rPr>
                <w:rFonts w:hint="eastAsia"/>
                <w:b/>
                <w:sz w:val="21"/>
                <w:szCs w:val="21"/>
              </w:rPr>
            </w:pPr>
            <w:r>
              <w:rPr>
                <w:rFonts w:hint="eastAsia"/>
                <w:b/>
                <w:kern w:val="2"/>
                <w:sz w:val="21"/>
                <w:szCs w:val="21"/>
                <w:lang w:bidi="ar"/>
              </w:rPr>
              <w:t>预算金额</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F8119E6">
            <w:pPr>
              <w:pStyle w:val="14"/>
              <w:widowControl w:val="0"/>
              <w:spacing w:before="0" w:beforeAutospacing="0" w:after="0" w:afterAutospacing="0"/>
              <w:jc w:val="center"/>
              <w:rPr>
                <w:rFonts w:hint="eastAsia"/>
                <w:b/>
                <w:sz w:val="21"/>
                <w:szCs w:val="21"/>
              </w:rPr>
            </w:pPr>
            <w:r>
              <w:rPr>
                <w:rFonts w:hint="eastAsia"/>
                <w:b/>
                <w:kern w:val="2"/>
                <w:sz w:val="21"/>
                <w:szCs w:val="21"/>
                <w:lang w:bidi="ar"/>
              </w:rPr>
              <w:t>选取中选人数量</w:t>
            </w:r>
          </w:p>
        </w:tc>
      </w:tr>
      <w:tr w14:paraId="64F3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50C39F50">
            <w:pPr>
              <w:jc w:val="center"/>
              <w:rPr>
                <w:rFonts w:hint="eastAsia" w:ascii="宋体" w:hAnsi="宋体" w:eastAsia="宋体" w:cs="宋体"/>
                <w:szCs w:val="21"/>
              </w:rPr>
            </w:pPr>
            <w:r>
              <w:rPr>
                <w:rFonts w:hint="eastAsia" w:ascii="宋体" w:hAnsi="宋体" w:eastAsia="宋体" w:cs="宋体"/>
                <w:szCs w:val="21"/>
                <w:lang w:bidi="ar"/>
              </w:rPr>
              <w:t>进口图书综合馆配服务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BC394E1">
            <w:pPr>
              <w:jc w:val="center"/>
              <w:rPr>
                <w:rFonts w:hint="eastAsia" w:ascii="宋体" w:hAnsi="宋体" w:eastAsia="宋体" w:cs="宋体"/>
                <w:szCs w:val="21"/>
              </w:rPr>
            </w:pPr>
            <w:r>
              <w:rPr>
                <w:rFonts w:hint="eastAsia" w:ascii="宋体" w:hAnsi="宋体" w:eastAsia="宋体" w:cs="宋体"/>
                <w:szCs w:val="21"/>
                <w:lang w:bidi="ar"/>
              </w:rPr>
              <w:t>人民币10万元</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9336D42">
            <w:pPr>
              <w:jc w:val="center"/>
              <w:rPr>
                <w:rFonts w:hint="eastAsia" w:ascii="宋体" w:hAnsi="宋体" w:eastAsia="宋体" w:cs="宋体"/>
                <w:szCs w:val="21"/>
              </w:rPr>
            </w:pPr>
            <w:r>
              <w:rPr>
                <w:rFonts w:hint="eastAsia" w:ascii="宋体" w:hAnsi="宋体" w:eastAsia="宋体" w:cs="宋体"/>
                <w:szCs w:val="21"/>
                <w:lang w:bidi="ar"/>
              </w:rPr>
              <w:t>1家</w:t>
            </w:r>
          </w:p>
        </w:tc>
      </w:tr>
    </w:tbl>
    <w:p w14:paraId="687EF174">
      <w:pPr>
        <w:pStyle w:val="37"/>
        <w:spacing w:line="360" w:lineRule="auto"/>
        <w:ind w:firstLine="420"/>
        <w:jc w:val="both"/>
        <w:textAlignment w:val="center"/>
        <w:rPr>
          <w:rFonts w:hint="eastAsia" w:hAnsi="宋体"/>
          <w:sz w:val="21"/>
          <w:szCs w:val="21"/>
        </w:rPr>
      </w:pPr>
      <w:r>
        <w:rPr>
          <w:rFonts w:hint="eastAsia" w:hAnsi="宋体"/>
          <w:sz w:val="21"/>
          <w:szCs w:val="21"/>
        </w:rPr>
        <w:t>注：应选人必须对项目内的所有内容进行应选，不允许只对其中部分内容进行应选。</w:t>
      </w:r>
    </w:p>
    <w:p w14:paraId="6901E154">
      <w:pPr>
        <w:pStyle w:val="37"/>
        <w:spacing w:line="360" w:lineRule="auto"/>
        <w:jc w:val="both"/>
        <w:textAlignment w:val="center"/>
        <w:rPr>
          <w:rFonts w:hint="eastAsia" w:hAnsi="宋体"/>
          <w:sz w:val="21"/>
          <w:szCs w:val="21"/>
        </w:rPr>
      </w:pPr>
      <w:r>
        <w:rPr>
          <w:rFonts w:hint="eastAsia" w:hAnsi="宋体"/>
          <w:sz w:val="21"/>
          <w:szCs w:val="21"/>
        </w:rPr>
        <w:t>1.3 采购人将根据实际预算经费到位情况安排进口图书采购，如果采购人临时增加进口图书采购任务，亦适用于本采购项目。</w:t>
      </w:r>
    </w:p>
    <w:p w14:paraId="082E4CD4">
      <w:pPr>
        <w:pStyle w:val="37"/>
        <w:spacing w:line="360" w:lineRule="auto"/>
        <w:jc w:val="both"/>
        <w:textAlignment w:val="center"/>
        <w:rPr>
          <w:rFonts w:hint="eastAsia" w:hAnsi="宋体"/>
          <w:sz w:val="21"/>
          <w:szCs w:val="21"/>
        </w:rPr>
      </w:pPr>
      <w:r>
        <w:rPr>
          <w:rFonts w:hint="eastAsia" w:hAnsi="宋体"/>
          <w:sz w:val="21"/>
          <w:szCs w:val="21"/>
        </w:rPr>
        <w:t>1.4 应选人须清楚知晓：采购图书金额以实际发生采购量结算为准，采购人不能保证完全按照以上金额采购图书。</w:t>
      </w:r>
    </w:p>
    <w:p w14:paraId="73461769">
      <w:pPr>
        <w:pStyle w:val="37"/>
        <w:spacing w:line="360" w:lineRule="auto"/>
        <w:jc w:val="both"/>
        <w:textAlignment w:val="center"/>
        <w:rPr>
          <w:rFonts w:hint="eastAsia" w:hAnsi="宋体"/>
          <w:color w:val="FF0000"/>
          <w:sz w:val="21"/>
          <w:szCs w:val="21"/>
          <w:u w:val="single"/>
        </w:rPr>
      </w:pPr>
      <w:bookmarkStart w:id="0" w:name="_Toc18012"/>
      <w:r>
        <w:rPr>
          <w:rFonts w:hint="eastAsia" w:hAnsi="宋体"/>
          <w:sz w:val="21"/>
          <w:szCs w:val="21"/>
        </w:rPr>
        <w:t>2. 服务地点：广州市内采购人指定地点</w:t>
      </w:r>
    </w:p>
    <w:p w14:paraId="62FD1266">
      <w:pPr>
        <w:pStyle w:val="37"/>
        <w:spacing w:line="360" w:lineRule="auto"/>
        <w:jc w:val="both"/>
        <w:textAlignment w:val="center"/>
        <w:rPr>
          <w:rFonts w:hint="eastAsia" w:hAnsi="宋体"/>
          <w:color w:val="0000FF"/>
          <w:sz w:val="21"/>
          <w:szCs w:val="21"/>
        </w:rPr>
      </w:pPr>
      <w:r>
        <w:rPr>
          <w:rFonts w:hint="eastAsia" w:hAnsi="宋体"/>
          <w:color w:val="auto"/>
          <w:sz w:val="21"/>
          <w:szCs w:val="21"/>
        </w:rPr>
        <w:t>3. 服务内容：进口图书综合馆配服务</w:t>
      </w:r>
    </w:p>
    <w:p w14:paraId="21B7CB9E">
      <w:pPr>
        <w:pStyle w:val="37"/>
        <w:spacing w:line="360" w:lineRule="auto"/>
        <w:jc w:val="both"/>
        <w:textAlignment w:val="center"/>
        <w:rPr>
          <w:rFonts w:hint="eastAsia" w:hAnsi="宋体"/>
          <w:color w:val="FF0000"/>
          <w:sz w:val="21"/>
          <w:szCs w:val="21"/>
        </w:rPr>
      </w:pPr>
      <w:r>
        <w:rPr>
          <w:rFonts w:hint="eastAsia" w:hAnsi="宋体"/>
          <w:color w:val="auto"/>
          <w:sz w:val="21"/>
          <w:szCs w:val="21"/>
        </w:rPr>
        <w:t>4. 本项目的服务期限：2025年12月31日前</w:t>
      </w:r>
    </w:p>
    <w:p w14:paraId="230B29D7">
      <w:pPr>
        <w:spacing w:line="360" w:lineRule="auto"/>
        <w:rPr>
          <w:rFonts w:hint="eastAsia" w:ascii="宋体" w:hAnsi="宋体" w:eastAsia="宋体" w:cs="宋体"/>
          <w:b/>
          <w:bCs/>
          <w:kern w:val="0"/>
          <w:szCs w:val="21"/>
        </w:rPr>
      </w:pPr>
      <w:r>
        <w:rPr>
          <w:rFonts w:hint="eastAsia" w:ascii="宋体" w:hAnsi="宋体" w:eastAsia="宋体" w:cs="宋体"/>
          <w:b/>
          <w:bCs/>
          <w:kern w:val="0"/>
          <w:szCs w:val="21"/>
        </w:rPr>
        <w:t>二、服务酬金计算方法：</w:t>
      </w:r>
      <w:bookmarkEnd w:id="0"/>
      <w:r>
        <w:rPr>
          <w:rFonts w:hint="eastAsia" w:ascii="宋体" w:hAnsi="宋体" w:eastAsia="宋体" w:cs="宋体"/>
          <w:b/>
          <w:bCs/>
          <w:kern w:val="0"/>
          <w:szCs w:val="21"/>
        </w:rPr>
        <w:t>进口图书结算价格（实洋）＝图书出版商报价×当时汇率×折扣率</w:t>
      </w:r>
    </w:p>
    <w:p w14:paraId="7E50F4D8">
      <w:pPr>
        <w:spacing w:line="360" w:lineRule="auto"/>
        <w:rPr>
          <w:rFonts w:hint="eastAsia" w:ascii="宋体" w:hAnsi="宋体" w:eastAsia="宋体" w:cs="宋体"/>
          <w:kern w:val="0"/>
          <w:szCs w:val="21"/>
        </w:rPr>
      </w:pPr>
      <w:r>
        <w:rPr>
          <w:rFonts w:hint="eastAsia" w:ascii="宋体" w:hAnsi="宋体" w:eastAsia="宋体" w:cs="宋体"/>
          <w:kern w:val="0"/>
          <w:szCs w:val="21"/>
        </w:rPr>
        <w:t>备注：（1）当时汇率是指双方结算之日中国银行总行首次发布的外币对人民币的现汇卖出价。</w:t>
      </w:r>
    </w:p>
    <w:p w14:paraId="02CDF736">
      <w:pPr>
        <w:widowControl/>
        <w:spacing w:line="360" w:lineRule="auto"/>
        <w:rPr>
          <w:rFonts w:hint="eastAsia" w:ascii="宋体" w:hAnsi="宋体" w:eastAsia="宋体" w:cs="宋体"/>
          <w:color w:val="000000"/>
          <w:kern w:val="0"/>
          <w:szCs w:val="21"/>
        </w:rPr>
      </w:pPr>
      <w:bookmarkStart w:id="1" w:name="_Toc18314"/>
      <w:r>
        <w:rPr>
          <w:rFonts w:hint="eastAsia" w:ascii="宋体" w:hAnsi="宋体" w:eastAsia="宋体" w:cs="宋体"/>
          <w:b/>
          <w:kern w:val="0"/>
          <w:szCs w:val="21"/>
        </w:rPr>
        <w:t>三 、付款方式：</w:t>
      </w:r>
      <w:bookmarkEnd w:id="1"/>
      <w:r>
        <w:rPr>
          <w:rFonts w:hint="eastAsia" w:ascii="宋体" w:hAnsi="宋体" w:eastAsia="宋体" w:cs="宋体"/>
          <w:b/>
          <w:kern w:val="0"/>
          <w:szCs w:val="21"/>
        </w:rPr>
        <w:t>货到验收合格，办妥差、错图书的退书手续后，60个工作日内按实洋结算。</w:t>
      </w:r>
    </w:p>
    <w:p w14:paraId="32918618">
      <w:pPr>
        <w:spacing w:line="360" w:lineRule="auto"/>
        <w:rPr>
          <w:rFonts w:hint="eastAsia" w:ascii="宋体" w:hAnsi="宋体" w:eastAsia="宋体" w:cs="宋体"/>
          <w:b/>
          <w:bCs/>
          <w:kern w:val="0"/>
          <w:szCs w:val="21"/>
        </w:rPr>
      </w:pPr>
      <w:bookmarkStart w:id="2" w:name="_Toc27376"/>
      <w:r>
        <w:rPr>
          <w:rFonts w:hint="eastAsia" w:ascii="宋体" w:hAnsi="宋体" w:eastAsia="宋体" w:cs="宋体"/>
          <w:b/>
          <w:bCs/>
          <w:kern w:val="0"/>
          <w:szCs w:val="21"/>
        </w:rPr>
        <w:t>四、服务要求：</w:t>
      </w:r>
      <w:bookmarkEnd w:id="2"/>
    </w:p>
    <w:p w14:paraId="13D21865">
      <w:pPr>
        <w:spacing w:line="360" w:lineRule="auto"/>
        <w:rPr>
          <w:rFonts w:hint="eastAsia" w:ascii="宋体" w:hAnsi="宋体" w:eastAsia="宋体" w:cs="宋体"/>
          <w:kern w:val="0"/>
          <w:szCs w:val="21"/>
        </w:rPr>
      </w:pPr>
      <w:r>
        <w:rPr>
          <w:rFonts w:hint="eastAsia" w:ascii="宋体" w:hAnsi="宋体" w:eastAsia="宋体" w:cs="宋体"/>
          <w:kern w:val="0"/>
          <w:szCs w:val="21"/>
        </w:rPr>
        <w:t>应选人必须响应并承诺下列要求：</w:t>
      </w:r>
    </w:p>
    <w:p w14:paraId="7DFEA4B8">
      <w:pPr>
        <w:numPr>
          <w:ilvl w:val="0"/>
          <w:numId w:val="1"/>
        </w:numPr>
        <w:spacing w:line="360" w:lineRule="auto"/>
        <w:rPr>
          <w:rFonts w:hint="eastAsia" w:ascii="宋体" w:hAnsi="宋体" w:eastAsia="宋体" w:cs="宋体"/>
          <w:kern w:val="0"/>
          <w:szCs w:val="21"/>
        </w:rPr>
      </w:pPr>
      <w:r>
        <w:rPr>
          <w:rFonts w:hint="eastAsia" w:ascii="宋体" w:hAnsi="宋体" w:eastAsia="宋体" w:cs="宋体"/>
          <w:kern w:val="0"/>
          <w:szCs w:val="21"/>
        </w:rPr>
        <w:t>中选人须按照采购人提供的订购清单内容供应图书，所有图书的品种和复本数量均由采购人决定，中选人不得自行搭配。</w:t>
      </w:r>
    </w:p>
    <w:p w14:paraId="2D02125E">
      <w:pPr>
        <w:spacing w:line="360" w:lineRule="auto"/>
        <w:rPr>
          <w:rFonts w:hint="eastAsia" w:ascii="宋体" w:hAnsi="宋体" w:eastAsia="宋体" w:cs="宋体"/>
          <w:kern w:val="0"/>
          <w:szCs w:val="21"/>
        </w:rPr>
      </w:pPr>
      <w:r>
        <w:rPr>
          <w:rFonts w:hint="eastAsia" w:ascii="宋体" w:hAnsi="宋体" w:eastAsia="宋体" w:cs="宋体"/>
          <w:kern w:val="0"/>
          <w:szCs w:val="21"/>
        </w:rPr>
        <w:t>2. 中选人保证出版物的内容、版本及进货来源合法，对所供应出版物的知识产权、进货来源负有相应的法律责任及由此产生的经济责任。</w:t>
      </w:r>
    </w:p>
    <w:p w14:paraId="43876CCD">
      <w:pPr>
        <w:spacing w:line="360" w:lineRule="auto"/>
        <w:rPr>
          <w:rFonts w:hint="eastAsia" w:ascii="宋体" w:hAnsi="宋体" w:eastAsia="宋体" w:cs="宋体"/>
          <w:kern w:val="0"/>
          <w:szCs w:val="21"/>
        </w:rPr>
      </w:pPr>
      <w:r>
        <w:rPr>
          <w:rFonts w:hint="eastAsia" w:ascii="宋体" w:hAnsi="宋体" w:eastAsia="宋体" w:cs="宋体"/>
          <w:kern w:val="0"/>
          <w:szCs w:val="21"/>
        </w:rPr>
        <w:t>3. 中选人应承担进口出版物内容审查的责任，提供符合我国 《出版物进口备案管理办法》相关规定和要求的进口图书。</w:t>
      </w:r>
    </w:p>
    <w:p w14:paraId="3D65C758">
      <w:pPr>
        <w:spacing w:line="360" w:lineRule="auto"/>
        <w:rPr>
          <w:rFonts w:hint="eastAsia" w:ascii="宋体" w:hAnsi="宋体" w:eastAsia="宋体" w:cs="宋体"/>
          <w:kern w:val="0"/>
          <w:szCs w:val="21"/>
        </w:rPr>
      </w:pPr>
      <w:r>
        <w:rPr>
          <w:rFonts w:hint="eastAsia" w:ascii="宋体" w:hAnsi="宋体" w:eastAsia="宋体" w:cs="宋体"/>
          <w:kern w:val="0"/>
          <w:szCs w:val="21"/>
        </w:rPr>
        <w:t>4. 中选人须免费提供适合我校图书馆采编要求的采访数据。中选人应建有功能较完善、性能稳定的专业化图书电子商务网站。能通过互联网免费提供规范的图书征订数据和机读USMARC编目数据，其数据须完全符合采购人图书集成管理系统的格式及运行要求。</w:t>
      </w:r>
    </w:p>
    <w:p w14:paraId="049D50C4">
      <w:pPr>
        <w:spacing w:line="360" w:lineRule="auto"/>
        <w:rPr>
          <w:rFonts w:hint="eastAsia" w:ascii="宋体" w:hAnsi="宋体" w:eastAsia="宋体" w:cs="宋体"/>
          <w:kern w:val="0"/>
          <w:szCs w:val="21"/>
        </w:rPr>
      </w:pPr>
      <w:r>
        <w:rPr>
          <w:rFonts w:hint="eastAsia" w:ascii="宋体" w:hAnsi="宋体" w:eastAsia="宋体" w:cs="宋体"/>
          <w:kern w:val="0"/>
          <w:szCs w:val="21"/>
        </w:rPr>
        <w:t>5. 中选人须每月向采购人提供至少一份当月出版的外文原版图书电子版目录，该电子版目录须按采购人的学科采购需要进行详细分类，并保证图书信息准确完整。</w:t>
      </w:r>
    </w:p>
    <w:p w14:paraId="223021DB">
      <w:pPr>
        <w:spacing w:line="360" w:lineRule="auto"/>
        <w:rPr>
          <w:rFonts w:hint="eastAsia" w:ascii="宋体" w:hAnsi="宋体" w:eastAsia="宋体" w:cs="宋体"/>
          <w:kern w:val="0"/>
          <w:szCs w:val="21"/>
        </w:rPr>
      </w:pPr>
      <w:r>
        <w:rPr>
          <w:rFonts w:hint="eastAsia" w:ascii="宋体" w:hAnsi="宋体" w:eastAsia="宋体" w:cs="宋体"/>
          <w:kern w:val="0"/>
          <w:szCs w:val="21"/>
        </w:rPr>
        <w:t>6. 中选人须及时响应采购人个性化的特色专题采购需求，并定制相应的电子版图书目录，该目录于10个工作日内应向采购人提供。</w:t>
      </w:r>
    </w:p>
    <w:p w14:paraId="2B8FA04F">
      <w:pPr>
        <w:spacing w:line="360" w:lineRule="auto"/>
        <w:rPr>
          <w:rFonts w:hint="eastAsia" w:ascii="宋体" w:hAnsi="宋体" w:eastAsia="宋体" w:cs="宋体"/>
          <w:kern w:val="0"/>
          <w:szCs w:val="21"/>
        </w:rPr>
      </w:pPr>
      <w:r>
        <w:rPr>
          <w:rFonts w:hint="eastAsia" w:ascii="宋体" w:hAnsi="宋体" w:eastAsia="宋体" w:cs="宋体"/>
          <w:kern w:val="0"/>
          <w:szCs w:val="21"/>
        </w:rPr>
        <w:t>7. 中选人收到采购人订单后，应及时与采购人订购记录和馆藏记录比对，发现重复订购及时通知采购人确认。</w:t>
      </w:r>
    </w:p>
    <w:p w14:paraId="4005B0B2">
      <w:pPr>
        <w:spacing w:line="360" w:lineRule="auto"/>
        <w:rPr>
          <w:rFonts w:hint="eastAsia" w:ascii="宋体" w:hAnsi="宋体" w:eastAsia="宋体" w:cs="宋体"/>
          <w:kern w:val="0"/>
          <w:szCs w:val="21"/>
        </w:rPr>
      </w:pPr>
      <w:r>
        <w:rPr>
          <w:rFonts w:hint="eastAsia" w:ascii="宋体" w:hAnsi="宋体" w:eastAsia="宋体" w:cs="宋体"/>
          <w:kern w:val="0"/>
          <w:szCs w:val="21"/>
        </w:rPr>
        <w:t>8. 对图书价格相对预订价格上涨超过15％的图书，中选人须向采购人重新确认，否则采购人有权不予接收。对图书出版情况发生变动的图书要及时通知采购人。</w:t>
      </w:r>
    </w:p>
    <w:p w14:paraId="355866C5">
      <w:pPr>
        <w:spacing w:line="360" w:lineRule="auto"/>
        <w:rPr>
          <w:rFonts w:hint="eastAsia" w:ascii="宋体" w:hAnsi="宋体" w:eastAsia="宋体" w:cs="宋体"/>
          <w:kern w:val="0"/>
          <w:szCs w:val="21"/>
        </w:rPr>
      </w:pPr>
      <w:r>
        <w:rPr>
          <w:rFonts w:hint="eastAsia" w:ascii="宋体" w:hAnsi="宋体" w:eastAsia="宋体" w:cs="宋体"/>
          <w:kern w:val="0"/>
          <w:szCs w:val="21"/>
        </w:rPr>
        <w:t>9. 中选人在执行订单过程中，如发现采购人所订图书信息与实际出版物信息不符（如书名与ISBN不一致），应及时通知采购人，由采购人确认是否仍订购该书。</w:t>
      </w:r>
    </w:p>
    <w:p w14:paraId="1B6B5FB2">
      <w:pPr>
        <w:spacing w:line="360" w:lineRule="auto"/>
        <w:rPr>
          <w:rFonts w:hint="eastAsia" w:ascii="宋体" w:hAnsi="宋体" w:eastAsia="宋体" w:cs="宋体"/>
          <w:kern w:val="0"/>
          <w:szCs w:val="21"/>
        </w:rPr>
      </w:pPr>
      <w:r>
        <w:rPr>
          <w:rFonts w:hint="eastAsia" w:ascii="宋体" w:hAnsi="宋体" w:eastAsia="宋体" w:cs="宋体"/>
          <w:kern w:val="0"/>
          <w:szCs w:val="21"/>
        </w:rPr>
        <w:t>10. 中选人须提供一站式服务，图书订单的处理、送货、收退、结算等所有服务均有专人负责。</w:t>
      </w:r>
    </w:p>
    <w:p w14:paraId="0142F820">
      <w:pPr>
        <w:spacing w:line="360" w:lineRule="auto"/>
        <w:rPr>
          <w:rFonts w:hint="eastAsia" w:ascii="宋体" w:hAnsi="宋体" w:eastAsia="宋体" w:cs="宋体"/>
          <w:kern w:val="0"/>
          <w:szCs w:val="21"/>
        </w:rPr>
      </w:pPr>
      <w:r>
        <w:rPr>
          <w:rFonts w:hint="eastAsia" w:ascii="宋体" w:hAnsi="宋体" w:eastAsia="宋体" w:cs="宋体"/>
          <w:kern w:val="0"/>
          <w:szCs w:val="21"/>
        </w:rPr>
        <w:t>11. 中选人须免费送书上门到华南理工大学图书馆指定地点，随书提供与该批图书数量、品种、价格相符的纸质版到货清单（清单内容包括：批次号、书号、书名、出版社、版本、实洋、册数、码洋），并注明总的种数、册数和码洋；中选人须在每一本书的配书单中列出该书以人民币结算的码洋金额；并提供对应的电子版到货清单。结算货款时还需提供该批次图书按书号排序的纸质版和电子版总清单（内容包括：财产号、书号、书名、码洋）。中选人须免费提供二次转运服务，每月至少1次将加工完成的图书打包后运送到指定的校区馆藏地，包括联系车辆、车辆进校报备、搬运上车及卸货到指定地点等全过程。</w:t>
      </w:r>
    </w:p>
    <w:p w14:paraId="0135898B">
      <w:pPr>
        <w:spacing w:line="360" w:lineRule="auto"/>
        <w:rPr>
          <w:rFonts w:hint="eastAsia" w:ascii="宋体" w:hAnsi="宋体" w:eastAsia="宋体" w:cs="宋体"/>
          <w:kern w:val="0"/>
          <w:szCs w:val="21"/>
        </w:rPr>
      </w:pPr>
      <w:r>
        <w:rPr>
          <w:rFonts w:hint="eastAsia" w:ascii="宋体" w:hAnsi="宋体" w:eastAsia="宋体" w:cs="宋体"/>
          <w:kern w:val="0"/>
          <w:szCs w:val="21"/>
        </w:rPr>
        <w:t>12. 中选人对采购人下订的图书应保证92%的到书率，并对未到图书承担相应责任。</w:t>
      </w:r>
    </w:p>
    <w:p w14:paraId="7DEA4986">
      <w:pPr>
        <w:spacing w:line="360" w:lineRule="auto"/>
        <w:rPr>
          <w:rFonts w:hint="eastAsia" w:ascii="宋体" w:hAnsi="宋体" w:eastAsia="宋体" w:cs="宋体"/>
          <w:kern w:val="0"/>
          <w:szCs w:val="21"/>
        </w:rPr>
      </w:pPr>
      <w:r>
        <w:rPr>
          <w:rFonts w:hint="eastAsia" w:ascii="宋体" w:hAnsi="宋体" w:eastAsia="宋体" w:cs="宋体"/>
          <w:kern w:val="0"/>
          <w:szCs w:val="21"/>
        </w:rPr>
        <w:t>13. 对于采购人所订图书，下订之日已出版的，中选人须在下订之日起60个工作日内到馆；下订之日尚未出版的，中选人须在出版之日起60个工作日内到馆。如未能按上述期限到馆，中选人须向采购人申述合理事由。</w:t>
      </w:r>
    </w:p>
    <w:p w14:paraId="20138F94">
      <w:pPr>
        <w:spacing w:line="360" w:lineRule="auto"/>
        <w:rPr>
          <w:rFonts w:hint="eastAsia" w:ascii="宋体" w:hAnsi="宋体" w:eastAsia="宋体" w:cs="宋体"/>
          <w:kern w:val="0"/>
          <w:szCs w:val="21"/>
        </w:rPr>
      </w:pPr>
      <w:r>
        <w:rPr>
          <w:rFonts w:hint="eastAsia" w:ascii="宋体" w:hAnsi="宋体" w:eastAsia="宋体" w:cs="宋体"/>
          <w:kern w:val="0"/>
          <w:szCs w:val="21"/>
        </w:rPr>
        <w:t>14. 协议期限届满，未到馆的图书订单自动取消，采购人不再另行通知，不再接受到货。</w:t>
      </w:r>
    </w:p>
    <w:p w14:paraId="2977EFAB">
      <w:pPr>
        <w:spacing w:line="360" w:lineRule="auto"/>
        <w:rPr>
          <w:rFonts w:hint="eastAsia" w:ascii="宋体" w:hAnsi="宋体" w:eastAsia="宋体" w:cs="宋体"/>
          <w:kern w:val="0"/>
          <w:szCs w:val="21"/>
        </w:rPr>
      </w:pPr>
      <w:r>
        <w:rPr>
          <w:rFonts w:hint="eastAsia" w:ascii="宋体" w:hAnsi="宋体" w:eastAsia="宋体" w:cs="宋体"/>
          <w:kern w:val="0"/>
          <w:szCs w:val="21"/>
        </w:rPr>
        <w:t>15. 中选人须按采购人要求定期提供订单执行情况的统计信息文档，该文档应于采购人发出询问后3个工作日内提供。</w:t>
      </w:r>
    </w:p>
    <w:p w14:paraId="793230DC">
      <w:pPr>
        <w:spacing w:line="360" w:lineRule="auto"/>
        <w:rPr>
          <w:rFonts w:hint="eastAsia" w:ascii="宋体" w:hAnsi="宋体" w:eastAsia="宋体" w:cs="宋体"/>
          <w:kern w:val="0"/>
          <w:szCs w:val="21"/>
        </w:rPr>
      </w:pPr>
      <w:r>
        <w:rPr>
          <w:rFonts w:hint="eastAsia" w:ascii="宋体" w:hAnsi="宋体" w:eastAsia="宋体" w:cs="宋体"/>
          <w:kern w:val="0"/>
          <w:szCs w:val="21"/>
        </w:rPr>
        <w:t>16. 图书到馆后采购人发现任何质量问题、所订品种、复本数量、随书光盘等不符的情况，无论是否已做前期加工，中选人需无条件退换。</w:t>
      </w:r>
    </w:p>
    <w:p w14:paraId="15895B8A">
      <w:pPr>
        <w:spacing w:line="360" w:lineRule="auto"/>
        <w:rPr>
          <w:rFonts w:hint="eastAsia" w:ascii="宋体" w:hAnsi="宋体" w:eastAsia="宋体" w:cs="宋体"/>
          <w:kern w:val="0"/>
          <w:szCs w:val="21"/>
        </w:rPr>
      </w:pPr>
      <w:r>
        <w:rPr>
          <w:rFonts w:hint="eastAsia" w:ascii="宋体" w:hAnsi="宋体" w:eastAsia="宋体" w:cs="宋体"/>
          <w:kern w:val="0"/>
          <w:szCs w:val="21"/>
        </w:rPr>
        <w:t>17. 项目服务期内，中标人需派一名以上加工人员到馆对图书（包括赠送图书、零散购买图书）进行免费物理加工和编目，且同意根据采购人安排完成院系资料室外文书刊物理加工和编目，包括：图书收书和拆包、系统验收、打印财产帐、盖馆藏章、贴条形码、贴标签、贴书标及彩带、条码加膜、抄书角号、编目、典藏、标签注册、上架服务等。要求人员稳定且训练有素，严格按照采购人的相关业务细则进行图书的物理加工、编目及数据处理，由采购人对所做工作进行指导和审核。</w:t>
      </w:r>
    </w:p>
    <w:p w14:paraId="51897B19">
      <w:pPr>
        <w:spacing w:line="360" w:lineRule="auto"/>
        <w:rPr>
          <w:rFonts w:hint="eastAsia" w:ascii="宋体" w:hAnsi="宋体" w:eastAsia="宋体" w:cs="宋体"/>
          <w:kern w:val="0"/>
          <w:szCs w:val="21"/>
        </w:rPr>
      </w:pPr>
      <w:r>
        <w:rPr>
          <w:rFonts w:hint="eastAsia" w:ascii="宋体" w:hAnsi="宋体" w:eastAsia="宋体" w:cs="宋体"/>
          <w:kern w:val="0"/>
          <w:szCs w:val="21"/>
        </w:rPr>
        <w:t>18. 中选人所派编目员应具有CALIS编目资质，不仅能熟练完成可套录图书的编目，还能独立完成原编，能按照《CALIS联合目录联机编目手册》和用户编目细则进行图书著录和标引，保证编目数据的质量，准确率95%以上，主要字段准确率99%以上；同时应保证图书编目和加工的效率，图书到馆后30个工作日内完成编目和加工工作。</w:t>
      </w:r>
    </w:p>
    <w:p w14:paraId="1F4DC9B8">
      <w:pPr>
        <w:spacing w:line="360" w:lineRule="auto"/>
        <w:rPr>
          <w:rFonts w:hint="eastAsia" w:ascii="宋体" w:hAnsi="宋体" w:eastAsia="宋体" w:cs="宋体"/>
          <w:szCs w:val="21"/>
        </w:rPr>
      </w:pPr>
      <w:r>
        <w:rPr>
          <w:rFonts w:hint="eastAsia" w:ascii="宋体" w:hAnsi="宋体" w:eastAsia="宋体" w:cs="宋体"/>
          <w:b/>
          <w:bCs/>
          <w:kern w:val="0"/>
          <w:szCs w:val="21"/>
        </w:rPr>
        <w:t>五、其他要求</w:t>
      </w:r>
      <w:bookmarkStart w:id="3" w:name="四、项目概述及维护保养内容、范围"/>
      <w:bookmarkEnd w:id="3"/>
    </w:p>
    <w:p w14:paraId="06405C55">
      <w:pPr>
        <w:spacing w:line="360" w:lineRule="auto"/>
        <w:rPr>
          <w:rFonts w:hint="eastAsia" w:ascii="宋体" w:hAnsi="宋体" w:eastAsia="宋体" w:cs="宋体"/>
          <w:szCs w:val="21"/>
        </w:rPr>
      </w:pPr>
      <w:r>
        <w:rPr>
          <w:rFonts w:hint="eastAsia" w:ascii="宋体" w:hAnsi="宋体" w:eastAsia="宋体" w:cs="宋体"/>
          <w:szCs w:val="21"/>
        </w:rPr>
        <w:t>1. 履约保证：中选人在收到中选通知后10个工作日内交纳履约保证金人民币一万元入学校指定账户。经采购人确认合同期内未出现违约现象，则在合同期满一个月内退还履约金保证金（履约金不含利息）。若发现严重违约现象，则按违约责任之约定扣除履约保证金或不予退还。</w:t>
      </w:r>
    </w:p>
    <w:p w14:paraId="6E22DD1A">
      <w:pPr>
        <w:spacing w:line="360" w:lineRule="auto"/>
        <w:rPr>
          <w:rFonts w:hint="eastAsia" w:ascii="宋体" w:hAnsi="宋体" w:eastAsia="宋体" w:cs="宋体"/>
          <w:szCs w:val="21"/>
        </w:rPr>
      </w:pPr>
      <w:r>
        <w:rPr>
          <w:rFonts w:hint="eastAsia" w:ascii="宋体" w:hAnsi="宋体" w:eastAsia="宋体" w:cs="宋体"/>
          <w:szCs w:val="21"/>
        </w:rPr>
        <w:t>2. 违约责任：</w:t>
      </w:r>
    </w:p>
    <w:p w14:paraId="4A891F70">
      <w:pPr>
        <w:spacing w:line="360" w:lineRule="auto"/>
        <w:rPr>
          <w:rFonts w:hint="eastAsia" w:ascii="宋体" w:hAnsi="宋体" w:eastAsia="宋体" w:cs="宋体"/>
          <w:szCs w:val="21"/>
        </w:rPr>
      </w:pPr>
      <w:r>
        <w:rPr>
          <w:rFonts w:hint="eastAsia" w:ascii="宋体" w:hAnsi="宋体" w:eastAsia="宋体" w:cs="宋体"/>
          <w:szCs w:val="21"/>
        </w:rPr>
        <w:t>2.1 若中选人提供非正版图书，采购人有权拒绝收入，中选人必须无条件退货，并须支付相应正版图书外币价十倍的违约金，该违约金从履约保证金中扣除，由此造成的采购人的一切损失由中选人承担。若中选人提供未经审读通过的违法违规出版物，中选人需承担由此引起的全部责任并赔偿因此给采购人造成的损失。采购人可据此无条件终止本合同。</w:t>
      </w:r>
    </w:p>
    <w:p w14:paraId="0987E23C">
      <w:pPr>
        <w:spacing w:line="360" w:lineRule="auto"/>
        <w:rPr>
          <w:rFonts w:hint="eastAsia" w:ascii="宋体" w:hAnsi="宋体" w:eastAsia="宋体" w:cs="宋体"/>
          <w:szCs w:val="21"/>
        </w:rPr>
      </w:pPr>
      <w:r>
        <w:rPr>
          <w:rFonts w:hint="eastAsia" w:ascii="宋体" w:hAnsi="宋体" w:eastAsia="宋体" w:cs="宋体"/>
          <w:szCs w:val="21"/>
        </w:rPr>
        <w:t>2.2 中选人供应图书的到书率不得低于92%（能够提供出版社尚未出版证明的不计入未到图书）。到书率未达到92%时，则被视作违约，中选人须按未到图书码洋的20%支付违约金。违约金从履约保证金中扣除。且采购人可据此无条件终止本合同，由此产生的一切后果由中选人承担。</w:t>
      </w:r>
    </w:p>
    <w:p w14:paraId="3CFEC368">
      <w:pPr>
        <w:spacing w:line="360" w:lineRule="auto"/>
        <w:rPr>
          <w:rFonts w:hint="eastAsia" w:ascii="宋体" w:hAnsi="宋体" w:eastAsia="宋体" w:cs="宋体"/>
          <w:szCs w:val="21"/>
        </w:rPr>
      </w:pPr>
      <w:r>
        <w:rPr>
          <w:rFonts w:hint="eastAsia" w:ascii="宋体" w:hAnsi="宋体" w:eastAsia="宋体" w:cs="宋体"/>
          <w:szCs w:val="21"/>
        </w:rPr>
        <w:t>2.3 凡有其他违约行为，采购人在合同期末进行供货和服务评价时，将对中选人做出差评。</w:t>
      </w:r>
    </w:p>
    <w:p w14:paraId="63258385">
      <w:pPr>
        <w:spacing w:line="360" w:lineRule="auto"/>
        <w:rPr>
          <w:rFonts w:hint="eastAsia" w:ascii="宋体" w:hAnsi="宋体" w:eastAsia="宋体" w:cs="宋体"/>
          <w:szCs w:val="21"/>
        </w:rPr>
      </w:pPr>
      <w:r>
        <w:rPr>
          <w:rFonts w:hint="eastAsia" w:ascii="宋体" w:hAnsi="宋体" w:eastAsia="宋体" w:cs="宋体"/>
          <w:szCs w:val="21"/>
        </w:rPr>
        <w:t>3. 合同签订方式：采购人在中选人缴纳履约保证金后10个工作日内与中选人签订2025年进口图书采购合同。采购人若有新的服务要求，双方可通过协商，签订补充协议。若评价得分低于优者，则中选期限结束，合同终止。</w:t>
      </w:r>
    </w:p>
    <w:p w14:paraId="38B71A16">
      <w:pPr>
        <w:spacing w:line="360" w:lineRule="auto"/>
        <w:rPr>
          <w:rFonts w:hint="eastAsia" w:ascii="宋体" w:hAnsi="宋体" w:eastAsia="宋体" w:cs="宋体"/>
          <w:b/>
          <w:bCs/>
          <w:kern w:val="0"/>
          <w:szCs w:val="21"/>
        </w:rPr>
      </w:pPr>
      <w:r>
        <w:rPr>
          <w:rFonts w:hint="eastAsia" w:ascii="宋体" w:hAnsi="宋体" w:eastAsia="宋体" w:cs="宋体"/>
          <w:b/>
          <w:bCs/>
          <w:kern w:val="0"/>
          <w:szCs w:val="21"/>
        </w:rPr>
        <w:t>六、</w:t>
      </w:r>
      <w:r>
        <w:rPr>
          <w:rFonts w:ascii="宋体" w:hAnsi="宋体" w:eastAsia="宋体" w:cs="宋体"/>
          <w:b/>
          <w:bCs/>
          <w:kern w:val="0"/>
          <w:szCs w:val="21"/>
        </w:rPr>
        <w:t>评审</w:t>
      </w:r>
      <w:r>
        <w:rPr>
          <w:rFonts w:hint="eastAsia" w:ascii="宋体" w:hAnsi="宋体" w:eastAsia="宋体" w:cs="宋体"/>
          <w:b/>
          <w:bCs/>
          <w:kern w:val="0"/>
          <w:szCs w:val="21"/>
        </w:rPr>
        <w:t>标准</w:t>
      </w:r>
    </w:p>
    <w:p w14:paraId="63707FA1">
      <w:pPr>
        <w:spacing w:line="360" w:lineRule="auto"/>
        <w:ind w:firstLine="420"/>
        <w:rPr>
          <w:rFonts w:eastAsia="宋体"/>
          <w:szCs w:val="20"/>
        </w:rPr>
      </w:pPr>
      <w:r>
        <w:rPr>
          <w:rFonts w:eastAsia="宋体"/>
          <w:bCs/>
          <w:snapToGrid w:val="0"/>
          <w:szCs w:val="21"/>
        </w:rPr>
        <w:t>服务</w:t>
      </w:r>
      <w:r>
        <w:rPr>
          <w:rFonts w:eastAsia="宋体"/>
          <w:szCs w:val="20"/>
        </w:rPr>
        <w:t>、商务、价格部分分值分配如下：</w:t>
      </w:r>
    </w:p>
    <w:tbl>
      <w:tblPr>
        <w:tblStyle w:val="16"/>
        <w:tblW w:w="7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1429"/>
        <w:gridCol w:w="1559"/>
        <w:gridCol w:w="1387"/>
      </w:tblGrid>
      <w:tr w14:paraId="3642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9" w:type="dxa"/>
            <w:vAlign w:val="center"/>
          </w:tcPr>
          <w:p w14:paraId="6DDD21D2">
            <w:pPr>
              <w:spacing w:line="360" w:lineRule="auto"/>
              <w:jc w:val="center"/>
              <w:rPr>
                <w:rFonts w:eastAsia="宋体"/>
                <w:b/>
                <w:szCs w:val="20"/>
              </w:rPr>
            </w:pPr>
            <w:r>
              <w:rPr>
                <w:rFonts w:eastAsia="宋体"/>
                <w:b/>
                <w:szCs w:val="20"/>
              </w:rPr>
              <w:t>评分项目</w:t>
            </w:r>
          </w:p>
        </w:tc>
        <w:tc>
          <w:tcPr>
            <w:tcW w:w="1985" w:type="dxa"/>
            <w:vAlign w:val="center"/>
          </w:tcPr>
          <w:p w14:paraId="5767696D">
            <w:pPr>
              <w:spacing w:line="360" w:lineRule="auto"/>
              <w:jc w:val="center"/>
              <w:rPr>
                <w:rFonts w:eastAsia="宋体"/>
                <w:b/>
                <w:szCs w:val="20"/>
              </w:rPr>
            </w:pPr>
            <w:r>
              <w:rPr>
                <w:rFonts w:eastAsia="宋体"/>
                <w:b/>
                <w:szCs w:val="20"/>
              </w:rPr>
              <w:t>服务评分</w:t>
            </w:r>
          </w:p>
        </w:tc>
        <w:tc>
          <w:tcPr>
            <w:tcW w:w="1429" w:type="dxa"/>
            <w:vAlign w:val="center"/>
          </w:tcPr>
          <w:p w14:paraId="3544696B">
            <w:pPr>
              <w:spacing w:line="360" w:lineRule="auto"/>
              <w:jc w:val="center"/>
              <w:rPr>
                <w:rFonts w:eastAsia="宋体"/>
                <w:b/>
                <w:szCs w:val="20"/>
              </w:rPr>
            </w:pPr>
            <w:r>
              <w:rPr>
                <w:rFonts w:eastAsia="宋体"/>
                <w:b/>
                <w:szCs w:val="20"/>
              </w:rPr>
              <w:t>商务评分</w:t>
            </w:r>
          </w:p>
        </w:tc>
        <w:tc>
          <w:tcPr>
            <w:tcW w:w="1559" w:type="dxa"/>
            <w:vAlign w:val="center"/>
          </w:tcPr>
          <w:p w14:paraId="1C8CFA27">
            <w:pPr>
              <w:spacing w:line="360" w:lineRule="auto"/>
              <w:jc w:val="center"/>
              <w:rPr>
                <w:rFonts w:eastAsia="宋体"/>
                <w:b/>
                <w:szCs w:val="20"/>
              </w:rPr>
            </w:pPr>
            <w:r>
              <w:rPr>
                <w:rFonts w:eastAsia="宋体"/>
                <w:b/>
                <w:szCs w:val="20"/>
              </w:rPr>
              <w:t>价格评分</w:t>
            </w:r>
          </w:p>
        </w:tc>
        <w:tc>
          <w:tcPr>
            <w:tcW w:w="1387" w:type="dxa"/>
            <w:vAlign w:val="center"/>
          </w:tcPr>
          <w:p w14:paraId="67655A32">
            <w:pPr>
              <w:spacing w:line="360" w:lineRule="auto"/>
              <w:jc w:val="center"/>
              <w:rPr>
                <w:rFonts w:eastAsia="宋体"/>
                <w:b/>
                <w:szCs w:val="20"/>
              </w:rPr>
            </w:pPr>
            <w:r>
              <w:rPr>
                <w:rFonts w:eastAsia="宋体"/>
                <w:b/>
                <w:szCs w:val="20"/>
              </w:rPr>
              <w:t>合  计</w:t>
            </w:r>
          </w:p>
        </w:tc>
      </w:tr>
      <w:tr w14:paraId="5FD5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9" w:type="dxa"/>
            <w:vAlign w:val="center"/>
          </w:tcPr>
          <w:p w14:paraId="2101DD75">
            <w:pPr>
              <w:spacing w:line="360" w:lineRule="auto"/>
              <w:ind w:firstLine="420"/>
              <w:jc w:val="center"/>
              <w:rPr>
                <w:rFonts w:eastAsia="宋体"/>
                <w:b/>
                <w:szCs w:val="20"/>
              </w:rPr>
            </w:pPr>
            <w:r>
              <w:rPr>
                <w:rFonts w:eastAsia="宋体"/>
                <w:b/>
                <w:szCs w:val="20"/>
              </w:rPr>
              <w:t>权重</w:t>
            </w:r>
          </w:p>
        </w:tc>
        <w:tc>
          <w:tcPr>
            <w:tcW w:w="1985" w:type="dxa"/>
            <w:vAlign w:val="center"/>
          </w:tcPr>
          <w:p w14:paraId="5F998E7E">
            <w:pPr>
              <w:spacing w:line="360" w:lineRule="auto"/>
              <w:ind w:firstLine="420"/>
              <w:jc w:val="center"/>
              <w:rPr>
                <w:rFonts w:eastAsia="宋体"/>
                <w:b/>
                <w:bCs/>
                <w:szCs w:val="20"/>
              </w:rPr>
            </w:pPr>
            <w:r>
              <w:rPr>
                <w:rFonts w:eastAsia="宋体"/>
                <w:b/>
                <w:bCs/>
                <w:szCs w:val="21"/>
              </w:rPr>
              <w:t>4</w:t>
            </w:r>
            <w:r>
              <w:rPr>
                <w:rFonts w:hint="eastAsia" w:eastAsia="宋体"/>
                <w:b/>
                <w:bCs/>
                <w:szCs w:val="21"/>
              </w:rPr>
              <w:t>0</w:t>
            </w:r>
            <w:r>
              <w:rPr>
                <w:rFonts w:eastAsia="宋体"/>
                <w:b/>
                <w:bCs/>
                <w:szCs w:val="20"/>
              </w:rPr>
              <w:t>%</w:t>
            </w:r>
          </w:p>
        </w:tc>
        <w:tc>
          <w:tcPr>
            <w:tcW w:w="1429" w:type="dxa"/>
            <w:vAlign w:val="center"/>
          </w:tcPr>
          <w:p w14:paraId="20FC726F">
            <w:pPr>
              <w:spacing w:line="360" w:lineRule="auto"/>
              <w:ind w:firstLine="420"/>
              <w:jc w:val="center"/>
              <w:rPr>
                <w:rFonts w:eastAsia="宋体"/>
                <w:b/>
                <w:bCs/>
                <w:szCs w:val="21"/>
              </w:rPr>
            </w:pPr>
            <w:r>
              <w:rPr>
                <w:rFonts w:hint="eastAsia" w:eastAsia="宋体"/>
                <w:b/>
                <w:bCs/>
                <w:szCs w:val="21"/>
              </w:rPr>
              <w:t>30</w:t>
            </w:r>
            <w:r>
              <w:rPr>
                <w:rFonts w:eastAsia="宋体"/>
                <w:b/>
                <w:bCs/>
                <w:szCs w:val="20"/>
              </w:rPr>
              <w:t>%</w:t>
            </w:r>
          </w:p>
        </w:tc>
        <w:tc>
          <w:tcPr>
            <w:tcW w:w="1559" w:type="dxa"/>
            <w:vAlign w:val="center"/>
          </w:tcPr>
          <w:p w14:paraId="0FBECD11">
            <w:pPr>
              <w:spacing w:line="360" w:lineRule="auto"/>
              <w:ind w:firstLine="420"/>
              <w:jc w:val="center"/>
              <w:rPr>
                <w:rFonts w:eastAsia="宋体"/>
                <w:b/>
                <w:bCs/>
                <w:szCs w:val="20"/>
              </w:rPr>
            </w:pPr>
            <w:r>
              <w:rPr>
                <w:rFonts w:eastAsia="宋体"/>
                <w:b/>
                <w:bCs/>
                <w:szCs w:val="21"/>
              </w:rPr>
              <w:t>30</w:t>
            </w:r>
            <w:r>
              <w:rPr>
                <w:rFonts w:eastAsia="宋体"/>
                <w:b/>
                <w:bCs/>
                <w:szCs w:val="20"/>
              </w:rPr>
              <w:t>%</w:t>
            </w:r>
          </w:p>
        </w:tc>
        <w:tc>
          <w:tcPr>
            <w:tcW w:w="1387" w:type="dxa"/>
            <w:vAlign w:val="center"/>
          </w:tcPr>
          <w:p w14:paraId="25CDB641">
            <w:pPr>
              <w:spacing w:line="360" w:lineRule="auto"/>
              <w:ind w:firstLine="420"/>
              <w:jc w:val="center"/>
              <w:rPr>
                <w:rFonts w:eastAsia="宋体"/>
                <w:b/>
                <w:bCs/>
                <w:szCs w:val="20"/>
              </w:rPr>
            </w:pPr>
            <w:r>
              <w:rPr>
                <w:rFonts w:eastAsia="宋体"/>
                <w:b/>
                <w:bCs/>
                <w:szCs w:val="20"/>
              </w:rPr>
              <w:t>100%</w:t>
            </w:r>
          </w:p>
        </w:tc>
      </w:tr>
    </w:tbl>
    <w:p w14:paraId="678F485F">
      <w:pPr>
        <w:spacing w:before="156" w:beforeLines="50" w:after="156" w:afterLines="50" w:line="400" w:lineRule="exact"/>
        <w:jc w:val="center"/>
        <w:rPr>
          <w:rFonts w:eastAsia="宋体"/>
        </w:rPr>
      </w:pPr>
      <w:r>
        <w:rPr>
          <w:rFonts w:hint="eastAsia" w:ascii="宋体" w:hAnsi="宋体" w:eastAsia="宋体"/>
          <w:b/>
          <w:bCs/>
          <w:sz w:val="28"/>
        </w:rPr>
        <w:t>服务评审表</w:t>
      </w:r>
    </w:p>
    <w:tbl>
      <w:tblPr>
        <w:tblStyle w:val="16"/>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39"/>
        <w:gridCol w:w="1196"/>
        <w:gridCol w:w="6095"/>
        <w:gridCol w:w="857"/>
      </w:tblGrid>
      <w:tr w14:paraId="0437E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D8543A">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序号</w:t>
            </w:r>
          </w:p>
        </w:tc>
        <w:tc>
          <w:tcPr>
            <w:tcW w:w="1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C242E9B">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评分因素</w:t>
            </w:r>
          </w:p>
        </w:tc>
        <w:tc>
          <w:tcPr>
            <w:tcW w:w="60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1CBBC3">
            <w:pPr>
              <w:widowControl/>
              <w:wordWrap w:val="0"/>
              <w:jc w:val="center"/>
              <w:rPr>
                <w:rFonts w:hint="eastAsia" w:ascii="宋体" w:hAnsi="宋体" w:eastAsia="宋体" w:cs="宋体"/>
                <w:kern w:val="0"/>
                <w:szCs w:val="21"/>
                <w:lang w:bidi="ar"/>
              </w:rPr>
            </w:pPr>
            <w:r>
              <w:rPr>
                <w:rFonts w:hint="eastAsia" w:ascii="宋体" w:hAnsi="宋体" w:eastAsia="宋体" w:cs="宋体"/>
                <w:kern w:val="0"/>
                <w:szCs w:val="21"/>
                <w:lang w:bidi="ar"/>
              </w:rPr>
              <w:t>评分准则</w:t>
            </w:r>
          </w:p>
        </w:tc>
        <w:tc>
          <w:tcPr>
            <w:tcW w:w="8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05BFE4F">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分值</w:t>
            </w:r>
          </w:p>
        </w:tc>
      </w:tr>
      <w:tr w14:paraId="3E861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6FC0B769">
            <w:pPr>
              <w:widowControl/>
              <w:wordWrap w:val="0"/>
              <w:jc w:val="center"/>
              <w:textAlignment w:val="top"/>
              <w:rPr>
                <w:rFonts w:hint="eastAsia" w:ascii="宋体" w:hAnsi="宋体" w:eastAsia="宋体" w:cs="宋体"/>
                <w:szCs w:val="21"/>
              </w:rPr>
            </w:pPr>
            <w:r>
              <w:rPr>
                <w:rFonts w:hint="eastAsia" w:ascii="宋体" w:hAnsi="宋体" w:eastAsia="宋体" w:cs="宋体"/>
                <w:kern w:val="0"/>
                <w:szCs w:val="21"/>
                <w:lang w:bidi="ar"/>
              </w:rPr>
              <w:t>1</w:t>
            </w:r>
          </w:p>
        </w:tc>
        <w:tc>
          <w:tcPr>
            <w:tcW w:w="1196" w:type="dxa"/>
            <w:tcBorders>
              <w:top w:val="single" w:color="000000" w:sz="8" w:space="0"/>
              <w:left w:val="single" w:color="000000" w:sz="8" w:space="0"/>
              <w:bottom w:val="single" w:color="000000" w:sz="8" w:space="0"/>
              <w:right w:val="single" w:color="000000" w:sz="8" w:space="0"/>
            </w:tcBorders>
            <w:vAlign w:val="center"/>
          </w:tcPr>
          <w:p w14:paraId="4F491AE0">
            <w:pPr>
              <w:widowControl/>
              <w:wordWrap w:val="0"/>
              <w:jc w:val="center"/>
              <w:textAlignment w:val="top"/>
              <w:rPr>
                <w:rFonts w:hint="eastAsia" w:ascii="宋体" w:hAnsi="宋体" w:eastAsia="宋体" w:cs="宋体"/>
                <w:szCs w:val="21"/>
              </w:rPr>
            </w:pPr>
            <w:r>
              <w:rPr>
                <w:rFonts w:hint="eastAsia" w:ascii="宋体" w:hAnsi="宋体" w:eastAsia="宋体" w:cs="宋体"/>
                <w:szCs w:val="21"/>
              </w:rPr>
              <w:t>服务要求响应与实施方案</w:t>
            </w:r>
          </w:p>
        </w:tc>
        <w:tc>
          <w:tcPr>
            <w:tcW w:w="6095" w:type="dxa"/>
            <w:tcBorders>
              <w:top w:val="single" w:color="000000" w:sz="8" w:space="0"/>
              <w:left w:val="single" w:color="000000" w:sz="8" w:space="0"/>
              <w:bottom w:val="single" w:color="000000" w:sz="8" w:space="0"/>
              <w:right w:val="single" w:color="000000" w:sz="8" w:space="0"/>
            </w:tcBorders>
          </w:tcPr>
          <w:p w14:paraId="4298D439">
            <w:pPr>
              <w:widowControl/>
              <w:textAlignment w:val="top"/>
              <w:rPr>
                <w:rFonts w:hint="eastAsia" w:ascii="宋体" w:hAnsi="宋体" w:eastAsia="宋体" w:cs="宋体"/>
                <w:szCs w:val="21"/>
              </w:rPr>
            </w:pPr>
            <w:r>
              <w:rPr>
                <w:rFonts w:hint="eastAsia" w:ascii="宋体" w:hAnsi="宋体" w:eastAsia="宋体" w:cs="宋体"/>
                <w:szCs w:val="21"/>
              </w:rPr>
              <w:t>根据应选人对“</w:t>
            </w:r>
            <w:r>
              <w:rPr>
                <w:rFonts w:hint="eastAsia" w:ascii="宋体" w:hAnsi="宋体" w:eastAsia="宋体" w:cs="宋体"/>
                <w:b/>
                <w:bCs/>
                <w:szCs w:val="21"/>
              </w:rPr>
              <w:t>四、服务要求</w:t>
            </w:r>
            <w:r>
              <w:rPr>
                <w:rFonts w:hint="eastAsia" w:ascii="宋体" w:hAnsi="宋体" w:eastAsia="宋体" w:cs="宋体"/>
                <w:szCs w:val="21"/>
              </w:rPr>
              <w:t>”（主要对应：图书质量、内容与渠道合法性承诺、采访数据、常规与专题书目、订购信息方案、配送服务与到货承诺、加工编目及售后服务等）的响应情况，以及为履行各项响应而制定的整体实施方案进行评审。</w:t>
            </w:r>
          </w:p>
          <w:p w14:paraId="7C12682B">
            <w:pPr>
              <w:widowControl/>
              <w:textAlignment w:val="top"/>
              <w:rPr>
                <w:rFonts w:hint="eastAsia" w:ascii="宋体" w:hAnsi="宋体" w:eastAsia="宋体" w:cs="宋体"/>
                <w:szCs w:val="21"/>
              </w:rPr>
            </w:pPr>
            <w:r>
              <w:rPr>
                <w:rFonts w:hint="eastAsia" w:ascii="宋体" w:hAnsi="宋体" w:eastAsia="宋体" w:cs="宋体"/>
                <w:szCs w:val="21"/>
              </w:rPr>
              <w:t>（1）完全满足并优于需求书要求，整体实施方案完整详细全面，针对性和可行性强，得15分；</w:t>
            </w:r>
          </w:p>
          <w:p w14:paraId="6933352D">
            <w:pPr>
              <w:widowControl/>
              <w:textAlignment w:val="top"/>
              <w:rPr>
                <w:rFonts w:hint="eastAsia" w:ascii="宋体" w:hAnsi="宋体" w:eastAsia="宋体" w:cs="宋体"/>
                <w:szCs w:val="21"/>
              </w:rPr>
            </w:pPr>
            <w:r>
              <w:rPr>
                <w:rFonts w:hint="eastAsia" w:ascii="宋体" w:hAnsi="宋体" w:eastAsia="宋体" w:cs="宋体"/>
                <w:szCs w:val="21"/>
              </w:rPr>
              <w:t>（2）完全满足并优于需求书要求，整体实施方案较为完整，针对性和可行性较强，得12分；</w:t>
            </w:r>
          </w:p>
          <w:p w14:paraId="6C8BED6A">
            <w:pPr>
              <w:widowControl/>
              <w:textAlignment w:val="top"/>
              <w:rPr>
                <w:rFonts w:hint="eastAsia" w:ascii="宋体" w:hAnsi="宋体" w:eastAsia="宋体" w:cs="宋体"/>
                <w:szCs w:val="21"/>
              </w:rPr>
            </w:pPr>
            <w:r>
              <w:rPr>
                <w:rFonts w:hint="eastAsia" w:ascii="宋体" w:hAnsi="宋体" w:eastAsia="宋体" w:cs="宋体"/>
                <w:szCs w:val="21"/>
              </w:rPr>
              <w:t>（3）完全满足需求书要求，整体实施方案较为完整，具有一定的针对性和可行性，得8分；</w:t>
            </w:r>
          </w:p>
          <w:p w14:paraId="4F1FF531">
            <w:pPr>
              <w:widowControl/>
              <w:textAlignment w:val="top"/>
              <w:rPr>
                <w:rFonts w:hint="eastAsia" w:ascii="宋体" w:hAnsi="宋体" w:eastAsia="宋体" w:cs="宋体"/>
                <w:szCs w:val="21"/>
              </w:rPr>
            </w:pPr>
            <w:r>
              <w:rPr>
                <w:rFonts w:hint="eastAsia" w:ascii="宋体" w:hAnsi="宋体" w:eastAsia="宋体" w:cs="宋体"/>
                <w:szCs w:val="21"/>
              </w:rPr>
              <w:t>（4）完全满足需求书要求，整体实施方案基本完整，针对性和可行性较差，得2分；</w:t>
            </w:r>
          </w:p>
          <w:p w14:paraId="180E320B">
            <w:pPr>
              <w:widowControl/>
              <w:textAlignment w:val="top"/>
              <w:rPr>
                <w:rFonts w:hint="eastAsia" w:ascii="宋体" w:hAnsi="宋体" w:eastAsia="宋体" w:cs="宋体"/>
                <w:szCs w:val="21"/>
              </w:rPr>
            </w:pPr>
            <w:r>
              <w:rPr>
                <w:rFonts w:hint="eastAsia" w:ascii="宋体" w:hAnsi="宋体" w:eastAsia="宋体" w:cs="宋体"/>
                <w:szCs w:val="21"/>
              </w:rPr>
              <w:t>（5）对需求书要求有保留或差异，或者无整体实施方案，均不得分。</w:t>
            </w:r>
          </w:p>
        </w:tc>
        <w:tc>
          <w:tcPr>
            <w:tcW w:w="857" w:type="dxa"/>
            <w:tcBorders>
              <w:top w:val="single" w:color="000000" w:sz="8" w:space="0"/>
              <w:left w:val="single" w:color="000000" w:sz="8" w:space="0"/>
              <w:bottom w:val="single" w:color="000000" w:sz="8" w:space="0"/>
              <w:right w:val="single" w:color="000000" w:sz="8" w:space="0"/>
            </w:tcBorders>
            <w:vAlign w:val="center"/>
          </w:tcPr>
          <w:p w14:paraId="73A29048">
            <w:pPr>
              <w:widowControl/>
              <w:wordWrap w:val="0"/>
              <w:jc w:val="center"/>
              <w:textAlignment w:val="top"/>
              <w:rPr>
                <w:rFonts w:hint="eastAsia" w:ascii="宋体" w:hAnsi="宋体" w:eastAsia="宋体" w:cs="宋体"/>
                <w:szCs w:val="21"/>
              </w:rPr>
            </w:pPr>
            <w:r>
              <w:rPr>
                <w:rFonts w:hint="eastAsia" w:ascii="宋体" w:hAnsi="宋体" w:eastAsia="宋体" w:cs="宋体"/>
                <w:szCs w:val="21"/>
              </w:rPr>
              <w:t>15</w:t>
            </w:r>
          </w:p>
        </w:tc>
      </w:tr>
      <w:tr w14:paraId="682C4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38CDD742">
            <w:pPr>
              <w:widowControl/>
              <w:wordWrap w:val="0"/>
              <w:jc w:val="center"/>
              <w:textAlignment w:val="top"/>
              <w:rPr>
                <w:rFonts w:hint="eastAsia" w:ascii="宋体" w:hAnsi="宋体" w:eastAsia="宋体" w:cs="宋体"/>
                <w:szCs w:val="21"/>
              </w:rPr>
            </w:pPr>
            <w:r>
              <w:rPr>
                <w:rFonts w:hint="eastAsia" w:ascii="宋体" w:hAnsi="宋体" w:eastAsia="宋体" w:cs="宋体"/>
                <w:szCs w:val="21"/>
              </w:rPr>
              <w:t>2</w:t>
            </w:r>
          </w:p>
        </w:tc>
        <w:tc>
          <w:tcPr>
            <w:tcW w:w="1196" w:type="dxa"/>
            <w:tcBorders>
              <w:top w:val="single" w:color="000000" w:sz="8" w:space="0"/>
              <w:left w:val="single" w:color="000000" w:sz="8" w:space="0"/>
              <w:bottom w:val="single" w:color="000000" w:sz="8" w:space="0"/>
              <w:right w:val="single" w:color="000000" w:sz="8" w:space="0"/>
            </w:tcBorders>
            <w:vAlign w:val="center"/>
          </w:tcPr>
          <w:p w14:paraId="4BC7C782">
            <w:pPr>
              <w:widowControl/>
              <w:wordWrap w:val="0"/>
              <w:jc w:val="center"/>
              <w:textAlignment w:val="top"/>
              <w:rPr>
                <w:rFonts w:hint="eastAsia" w:ascii="宋体" w:hAnsi="宋体" w:eastAsia="宋体" w:cs="宋体"/>
                <w:szCs w:val="21"/>
              </w:rPr>
            </w:pPr>
            <w:r>
              <w:rPr>
                <w:rFonts w:hint="eastAsia" w:eastAsia="宋体"/>
                <w:szCs w:val="21"/>
              </w:rPr>
              <w:t>外国教材中心建设</w:t>
            </w:r>
            <w:r>
              <w:rPr>
                <w:rFonts w:eastAsia="宋体"/>
                <w:szCs w:val="21"/>
              </w:rPr>
              <w:t>方案</w:t>
            </w:r>
          </w:p>
        </w:tc>
        <w:tc>
          <w:tcPr>
            <w:tcW w:w="6095" w:type="dxa"/>
            <w:tcBorders>
              <w:top w:val="single" w:color="000000" w:sz="8" w:space="0"/>
              <w:left w:val="single" w:color="000000" w:sz="8" w:space="0"/>
              <w:bottom w:val="single" w:color="000000" w:sz="8" w:space="0"/>
              <w:right w:val="single" w:color="000000" w:sz="8" w:space="0"/>
            </w:tcBorders>
          </w:tcPr>
          <w:p w14:paraId="4A3D9979">
            <w:pPr>
              <w:widowControl/>
              <w:wordWrap w:val="0"/>
              <w:textAlignment w:val="top"/>
              <w:rPr>
                <w:rFonts w:hint="eastAsia" w:ascii="宋体" w:hAnsi="宋体" w:eastAsia="宋体" w:cs="宋体"/>
                <w:szCs w:val="21"/>
              </w:rPr>
            </w:pPr>
            <w:r>
              <w:rPr>
                <w:rFonts w:hint="eastAsia" w:ascii="宋体" w:hAnsi="宋体" w:eastAsia="宋体" w:cs="宋体"/>
                <w:szCs w:val="21"/>
              </w:rPr>
              <w:t>根据应选人所具备的外国教材中心馆藏文献资源（外文纸质图书）建设方案能力进行评审：</w:t>
            </w:r>
          </w:p>
          <w:p w14:paraId="3835893B">
            <w:pPr>
              <w:widowControl/>
              <w:wordWrap w:val="0"/>
              <w:textAlignment w:val="top"/>
              <w:rPr>
                <w:rFonts w:hint="eastAsia" w:ascii="宋体" w:hAnsi="宋体" w:eastAsia="宋体" w:cs="宋体"/>
                <w:szCs w:val="21"/>
              </w:rPr>
            </w:pPr>
            <w:r>
              <w:rPr>
                <w:rFonts w:hint="eastAsia" w:ascii="宋体" w:hAnsi="宋体" w:eastAsia="宋体" w:cs="宋体"/>
                <w:szCs w:val="21"/>
              </w:rPr>
              <w:t>（1）方案贴合</w:t>
            </w:r>
            <w:r>
              <w:rPr>
                <w:rFonts w:hint="eastAsia" w:eastAsia="宋体"/>
                <w:szCs w:val="21"/>
              </w:rPr>
              <w:t>外国教材中心建设</w:t>
            </w:r>
            <w:r>
              <w:rPr>
                <w:rFonts w:hint="eastAsia" w:ascii="宋体" w:hAnsi="宋体" w:eastAsia="宋体" w:cs="宋体"/>
                <w:szCs w:val="21"/>
              </w:rPr>
              <w:t>需求，框架体系严谨，数据分析精详，特色鲜明，合理性与可行性强，得15分；</w:t>
            </w:r>
          </w:p>
          <w:p w14:paraId="78DE60D7">
            <w:pPr>
              <w:widowControl/>
              <w:wordWrap w:val="0"/>
              <w:textAlignment w:val="top"/>
              <w:rPr>
                <w:rFonts w:hint="eastAsia" w:ascii="宋体" w:hAnsi="宋体" w:eastAsia="宋体" w:cs="宋体"/>
                <w:szCs w:val="21"/>
              </w:rPr>
            </w:pPr>
            <w:r>
              <w:rPr>
                <w:rFonts w:hint="eastAsia" w:ascii="宋体" w:hAnsi="宋体" w:eastAsia="宋体" w:cs="宋体"/>
                <w:szCs w:val="21"/>
              </w:rPr>
              <w:t>（2）方案贴合</w:t>
            </w:r>
            <w:r>
              <w:rPr>
                <w:rFonts w:hint="eastAsia" w:eastAsia="宋体"/>
                <w:szCs w:val="21"/>
              </w:rPr>
              <w:t>外国教材中心建设</w:t>
            </w:r>
            <w:r>
              <w:rPr>
                <w:rFonts w:hint="eastAsia" w:ascii="宋体" w:hAnsi="宋体" w:eastAsia="宋体" w:cs="宋体"/>
                <w:szCs w:val="21"/>
              </w:rPr>
              <w:t>需求，框架体系完整，数据分析较详细，特色明显，合理性与可行性较强，得12分；</w:t>
            </w:r>
          </w:p>
          <w:p w14:paraId="06361218">
            <w:pPr>
              <w:widowControl/>
              <w:wordWrap w:val="0"/>
              <w:textAlignment w:val="top"/>
              <w:rPr>
                <w:rFonts w:hint="eastAsia" w:ascii="宋体" w:hAnsi="宋体" w:eastAsia="宋体" w:cs="宋体"/>
                <w:szCs w:val="21"/>
              </w:rPr>
            </w:pPr>
            <w:r>
              <w:rPr>
                <w:rFonts w:hint="eastAsia" w:ascii="宋体" w:hAnsi="宋体" w:eastAsia="宋体" w:cs="宋体"/>
                <w:szCs w:val="21"/>
              </w:rPr>
              <w:t>（3）方案符合</w:t>
            </w:r>
            <w:r>
              <w:rPr>
                <w:rFonts w:hint="eastAsia" w:eastAsia="宋体"/>
                <w:szCs w:val="21"/>
              </w:rPr>
              <w:t>外国教材中心建设</w:t>
            </w:r>
            <w:r>
              <w:rPr>
                <w:rFonts w:hint="eastAsia" w:ascii="宋体" w:hAnsi="宋体" w:eastAsia="宋体" w:cs="宋体"/>
                <w:szCs w:val="21"/>
              </w:rPr>
              <w:t>需求，框架体系完整，数据分析较详细，有一定特色，具备较强的合理性与可行性，得9分；</w:t>
            </w:r>
          </w:p>
          <w:p w14:paraId="6360CB1A">
            <w:pPr>
              <w:widowControl/>
              <w:wordWrap w:val="0"/>
              <w:textAlignment w:val="top"/>
              <w:rPr>
                <w:rFonts w:hint="eastAsia" w:ascii="宋体" w:hAnsi="宋体" w:eastAsia="宋体" w:cs="宋体"/>
                <w:szCs w:val="21"/>
              </w:rPr>
            </w:pPr>
            <w:r>
              <w:rPr>
                <w:rFonts w:hint="eastAsia" w:ascii="宋体" w:hAnsi="宋体" w:eastAsia="宋体" w:cs="宋体"/>
                <w:szCs w:val="21"/>
              </w:rPr>
              <w:t>（4）方案符合</w:t>
            </w:r>
            <w:r>
              <w:rPr>
                <w:rFonts w:hint="eastAsia" w:eastAsia="宋体"/>
                <w:szCs w:val="21"/>
              </w:rPr>
              <w:t>外国教材中心建设</w:t>
            </w:r>
            <w:r>
              <w:rPr>
                <w:rFonts w:hint="eastAsia" w:ascii="宋体" w:hAnsi="宋体" w:eastAsia="宋体" w:cs="宋体"/>
                <w:szCs w:val="21"/>
              </w:rPr>
              <w:t>需求，具有框架体系与数据分析，有一定特色，具备一定合理性与可行性，得5分；</w:t>
            </w:r>
          </w:p>
          <w:p w14:paraId="63986C50">
            <w:pPr>
              <w:widowControl/>
              <w:wordWrap w:val="0"/>
              <w:textAlignment w:val="top"/>
              <w:rPr>
                <w:rFonts w:hint="eastAsia" w:ascii="宋体" w:hAnsi="宋体" w:eastAsia="宋体" w:cs="宋体"/>
                <w:szCs w:val="21"/>
              </w:rPr>
            </w:pPr>
            <w:r>
              <w:rPr>
                <w:rFonts w:hint="eastAsia" w:ascii="宋体" w:hAnsi="宋体" w:eastAsia="宋体" w:cs="宋体"/>
                <w:szCs w:val="21"/>
              </w:rPr>
              <w:t>（5）其他情况不得分。</w:t>
            </w:r>
          </w:p>
          <w:p w14:paraId="69801C91">
            <w:pPr>
              <w:widowControl/>
              <w:wordWrap w:val="0"/>
              <w:textAlignment w:val="top"/>
              <w:rPr>
                <w:rFonts w:hint="eastAsia" w:ascii="宋体" w:hAnsi="宋体" w:eastAsia="宋体" w:cs="宋体"/>
                <w:szCs w:val="21"/>
              </w:rPr>
            </w:pPr>
            <w:r>
              <w:rPr>
                <w:rFonts w:hint="eastAsia" w:ascii="宋体" w:hAnsi="宋体" w:eastAsia="宋体" w:cs="宋体"/>
                <w:szCs w:val="21"/>
              </w:rPr>
              <w:t>注：须提供2022年1月1日以来为合作馆</w:t>
            </w:r>
            <w:r>
              <w:rPr>
                <w:rFonts w:hint="eastAsia" w:ascii="宋体" w:hAnsi="宋体" w:eastAsia="宋体" w:cs="宋体"/>
                <w:b/>
                <w:bCs/>
                <w:szCs w:val="21"/>
              </w:rPr>
              <w:t>采用</w:t>
            </w:r>
            <w:r>
              <w:rPr>
                <w:rFonts w:hint="eastAsia" w:ascii="宋体" w:hAnsi="宋体" w:eastAsia="宋体" w:cs="宋体"/>
                <w:szCs w:val="21"/>
              </w:rPr>
              <w:t>的馆藏建设方案至少2份</w:t>
            </w:r>
          </w:p>
        </w:tc>
        <w:tc>
          <w:tcPr>
            <w:tcW w:w="857" w:type="dxa"/>
            <w:tcBorders>
              <w:top w:val="single" w:color="000000" w:sz="8" w:space="0"/>
              <w:left w:val="single" w:color="000000" w:sz="8" w:space="0"/>
              <w:bottom w:val="single" w:color="000000" w:sz="8" w:space="0"/>
              <w:right w:val="single" w:color="000000" w:sz="8" w:space="0"/>
            </w:tcBorders>
            <w:vAlign w:val="center"/>
          </w:tcPr>
          <w:p w14:paraId="72D4C8E7">
            <w:pPr>
              <w:widowControl/>
              <w:wordWrap w:val="0"/>
              <w:jc w:val="center"/>
              <w:textAlignment w:val="top"/>
              <w:rPr>
                <w:rFonts w:hint="eastAsia" w:ascii="宋体" w:hAnsi="宋体" w:eastAsia="宋体" w:cs="宋体"/>
                <w:szCs w:val="21"/>
              </w:rPr>
            </w:pPr>
            <w:r>
              <w:rPr>
                <w:rFonts w:hint="eastAsia" w:ascii="宋体" w:hAnsi="宋体" w:eastAsia="宋体" w:cs="宋体"/>
                <w:szCs w:val="21"/>
              </w:rPr>
              <w:t>15</w:t>
            </w:r>
          </w:p>
        </w:tc>
      </w:tr>
      <w:tr w14:paraId="5389E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064B7C6C">
            <w:pPr>
              <w:widowControl/>
              <w:wordWrap w:val="0"/>
              <w:jc w:val="center"/>
              <w:textAlignment w:val="top"/>
              <w:rPr>
                <w:rFonts w:hint="eastAsia" w:ascii="宋体" w:hAnsi="宋体" w:eastAsia="宋体" w:cs="宋体"/>
                <w:szCs w:val="21"/>
              </w:rPr>
            </w:pPr>
            <w:r>
              <w:rPr>
                <w:rFonts w:hint="eastAsia" w:ascii="宋体" w:hAnsi="宋体" w:eastAsia="宋体" w:cs="宋体"/>
                <w:szCs w:val="21"/>
              </w:rPr>
              <w:t>3</w:t>
            </w:r>
          </w:p>
        </w:tc>
        <w:tc>
          <w:tcPr>
            <w:tcW w:w="1196" w:type="dxa"/>
            <w:tcBorders>
              <w:top w:val="single" w:color="000000" w:sz="8" w:space="0"/>
              <w:left w:val="single" w:color="000000" w:sz="8" w:space="0"/>
              <w:bottom w:val="single" w:color="000000" w:sz="8" w:space="0"/>
              <w:right w:val="single" w:color="000000" w:sz="8" w:space="0"/>
            </w:tcBorders>
            <w:vAlign w:val="center"/>
          </w:tcPr>
          <w:p w14:paraId="18F0F4A2">
            <w:pPr>
              <w:widowControl/>
              <w:wordWrap w:val="0"/>
              <w:jc w:val="center"/>
              <w:textAlignment w:val="top"/>
              <w:rPr>
                <w:rFonts w:hint="eastAsia" w:ascii="宋体" w:hAnsi="宋体" w:eastAsia="宋体" w:cs="宋体"/>
                <w:szCs w:val="21"/>
              </w:rPr>
            </w:pPr>
            <w:r>
              <w:rPr>
                <w:rFonts w:hint="eastAsia" w:ascii="宋体" w:hAnsi="宋体" w:eastAsia="宋体" w:cs="宋体"/>
                <w:szCs w:val="21"/>
              </w:rPr>
              <w:t>编目能力</w:t>
            </w:r>
          </w:p>
        </w:tc>
        <w:tc>
          <w:tcPr>
            <w:tcW w:w="6095" w:type="dxa"/>
            <w:tcBorders>
              <w:top w:val="single" w:color="000000" w:sz="8" w:space="0"/>
              <w:left w:val="single" w:color="000000" w:sz="8" w:space="0"/>
              <w:bottom w:val="single" w:color="000000" w:sz="8" w:space="0"/>
              <w:right w:val="single" w:color="000000" w:sz="8" w:space="0"/>
            </w:tcBorders>
          </w:tcPr>
          <w:p w14:paraId="6EE5A392">
            <w:pPr>
              <w:widowControl/>
              <w:wordWrap w:val="0"/>
              <w:textAlignment w:val="top"/>
              <w:rPr>
                <w:rFonts w:hint="eastAsia" w:ascii="宋体" w:hAnsi="宋体" w:eastAsia="宋体" w:cs="宋体"/>
                <w:szCs w:val="21"/>
              </w:rPr>
            </w:pPr>
            <w:r>
              <w:rPr>
                <w:rFonts w:hint="eastAsia" w:ascii="宋体" w:hAnsi="宋体" w:eastAsia="宋体" w:cs="宋体"/>
                <w:szCs w:val="21"/>
              </w:rPr>
              <w:t>对应选人编目能力情况进行评审：</w:t>
            </w:r>
          </w:p>
          <w:p w14:paraId="7AC10522">
            <w:pPr>
              <w:widowControl/>
              <w:wordWrap w:val="0"/>
              <w:textAlignment w:val="top"/>
              <w:rPr>
                <w:rFonts w:hint="eastAsia" w:ascii="宋体" w:hAnsi="宋体" w:eastAsia="宋体" w:cs="宋体"/>
                <w:szCs w:val="21"/>
              </w:rPr>
            </w:pPr>
            <w:r>
              <w:rPr>
                <w:rFonts w:hint="eastAsia" w:ascii="宋体" w:hAnsi="宋体" w:eastAsia="宋体" w:cs="宋体"/>
                <w:szCs w:val="21"/>
              </w:rPr>
              <w:t>（1）应选人须提供承诺函（格式自拟），承诺合同期内驻馆（根据需要）编目人员和加工人员中途不更换，同时承诺图书到馆后30个工作日内完成编目加工工作，得2分，无承诺不得分。</w:t>
            </w:r>
          </w:p>
          <w:p w14:paraId="59EED52C">
            <w:pPr>
              <w:widowControl/>
              <w:wordWrap w:val="0"/>
              <w:textAlignment w:val="top"/>
              <w:rPr>
                <w:rFonts w:hint="eastAsia" w:ascii="宋体" w:hAnsi="宋体" w:eastAsia="宋体" w:cs="宋体"/>
                <w:szCs w:val="21"/>
              </w:rPr>
            </w:pPr>
            <w:r>
              <w:rPr>
                <w:rFonts w:hint="eastAsia" w:ascii="宋体" w:hAnsi="宋体" w:eastAsia="宋体" w:cs="宋体"/>
                <w:szCs w:val="21"/>
              </w:rPr>
              <w:t>（2）提供服务于本项目的具有CALIS西文三级或以上编目员资格证书（结业证书、培训证书无效）的人员名单，提供一人得1分，最高的8分。</w:t>
            </w:r>
          </w:p>
          <w:p w14:paraId="3A74E183">
            <w:pPr>
              <w:widowControl/>
              <w:wordWrap w:val="0"/>
              <w:textAlignment w:val="top"/>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szCs w:val="21"/>
                <w:lang w:bidi="ar"/>
              </w:rPr>
              <w:t>须提供有效的CALIS联机合作编目中心编目员认证资格证书复印件和证书查询结果的截图</w:t>
            </w:r>
            <w:r>
              <w:rPr>
                <w:rFonts w:hint="eastAsia" w:ascii="宋体" w:hAnsi="宋体" w:eastAsia="宋体" w:cs="宋体"/>
                <w:szCs w:val="21"/>
              </w:rPr>
              <w:t>，以及在应选人单位任职的证明材料，如本项目应选截止时间前半年内任意</w:t>
            </w:r>
            <w:r>
              <w:rPr>
                <w:rFonts w:hint="eastAsia" w:eastAsia="宋体"/>
              </w:rPr>
              <w:t>任意一个月</w:t>
            </w:r>
            <w:r>
              <w:rPr>
                <w:rFonts w:hint="eastAsia" w:ascii="宋体" w:hAnsi="宋体" w:eastAsia="宋体" w:cs="宋体"/>
                <w:szCs w:val="21"/>
              </w:rPr>
              <w:t>的社保证明复印件，或单位代缴个人所得税税单复印件等（均须加盖应选人公章）。未提供或未按要求提供上述材料的均不得分。</w:t>
            </w:r>
          </w:p>
        </w:tc>
        <w:tc>
          <w:tcPr>
            <w:tcW w:w="857" w:type="dxa"/>
            <w:tcBorders>
              <w:top w:val="single" w:color="000000" w:sz="8" w:space="0"/>
              <w:left w:val="single" w:color="000000" w:sz="8" w:space="0"/>
              <w:bottom w:val="single" w:color="000000" w:sz="8" w:space="0"/>
              <w:right w:val="single" w:color="000000" w:sz="8" w:space="0"/>
            </w:tcBorders>
            <w:vAlign w:val="center"/>
          </w:tcPr>
          <w:p w14:paraId="30FC20FA">
            <w:pPr>
              <w:widowControl/>
              <w:wordWrap w:val="0"/>
              <w:jc w:val="center"/>
              <w:textAlignment w:val="top"/>
              <w:rPr>
                <w:rFonts w:hint="eastAsia" w:ascii="宋体" w:hAnsi="宋体" w:eastAsia="宋体" w:cs="宋体"/>
                <w:szCs w:val="21"/>
              </w:rPr>
            </w:pPr>
            <w:r>
              <w:rPr>
                <w:rFonts w:hint="eastAsia" w:ascii="宋体" w:hAnsi="宋体" w:eastAsia="宋体" w:cs="宋体"/>
                <w:szCs w:val="21"/>
              </w:rPr>
              <w:t>10</w:t>
            </w:r>
          </w:p>
        </w:tc>
      </w:tr>
      <w:tr w14:paraId="399B3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7930" w:type="dxa"/>
            <w:gridSpan w:val="3"/>
            <w:tcBorders>
              <w:top w:val="single" w:color="000000" w:sz="8" w:space="0"/>
              <w:left w:val="single" w:color="000000" w:sz="8" w:space="0"/>
              <w:bottom w:val="single" w:color="000000" w:sz="8" w:space="0"/>
              <w:right w:val="single" w:color="000000" w:sz="8" w:space="0"/>
            </w:tcBorders>
            <w:vAlign w:val="center"/>
          </w:tcPr>
          <w:p w14:paraId="4085D786">
            <w:pPr>
              <w:widowControl/>
              <w:wordWrap w:val="0"/>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合计</w:t>
            </w:r>
          </w:p>
        </w:tc>
        <w:tc>
          <w:tcPr>
            <w:tcW w:w="857" w:type="dxa"/>
            <w:tcBorders>
              <w:top w:val="single" w:color="000000" w:sz="8" w:space="0"/>
              <w:left w:val="single" w:color="000000" w:sz="8" w:space="0"/>
              <w:bottom w:val="single" w:color="000000" w:sz="8" w:space="0"/>
              <w:right w:val="single" w:color="000000" w:sz="8" w:space="0"/>
            </w:tcBorders>
            <w:vAlign w:val="center"/>
          </w:tcPr>
          <w:p w14:paraId="69A9FEA7">
            <w:pPr>
              <w:widowControl/>
              <w:wordWrap w:val="0"/>
              <w:jc w:val="center"/>
              <w:textAlignment w:val="top"/>
              <w:rPr>
                <w:rFonts w:hint="eastAsia" w:ascii="宋体" w:hAnsi="宋体" w:eastAsia="宋体" w:cs="宋体"/>
                <w:szCs w:val="21"/>
              </w:rPr>
            </w:pPr>
            <w:r>
              <w:rPr>
                <w:rFonts w:hint="eastAsia" w:ascii="宋体" w:hAnsi="宋体" w:eastAsia="宋体" w:cs="宋体"/>
                <w:szCs w:val="21"/>
              </w:rPr>
              <w:t>40分</w:t>
            </w:r>
          </w:p>
        </w:tc>
      </w:tr>
    </w:tbl>
    <w:p w14:paraId="12B63D28">
      <w:pPr>
        <w:rPr>
          <w:rFonts w:eastAsia="宋体"/>
        </w:rPr>
      </w:pPr>
    </w:p>
    <w:p w14:paraId="7454E5CB">
      <w:pPr>
        <w:spacing w:before="156" w:beforeLines="50" w:after="156" w:afterLines="50" w:line="400" w:lineRule="exact"/>
        <w:jc w:val="center"/>
        <w:rPr>
          <w:rFonts w:hint="eastAsia" w:ascii="宋体" w:hAnsi="宋体" w:eastAsia="宋体"/>
          <w:b/>
          <w:bCs/>
          <w:sz w:val="28"/>
        </w:rPr>
      </w:pPr>
      <w:r>
        <w:rPr>
          <w:rFonts w:hint="eastAsia" w:ascii="宋体" w:hAnsi="宋体" w:eastAsia="宋体"/>
          <w:b/>
          <w:bCs/>
          <w:sz w:val="28"/>
        </w:rPr>
        <w:t>商务评审表</w:t>
      </w:r>
    </w:p>
    <w:tbl>
      <w:tblPr>
        <w:tblStyle w:val="16"/>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39"/>
        <w:gridCol w:w="1196"/>
        <w:gridCol w:w="6095"/>
        <w:gridCol w:w="857"/>
      </w:tblGrid>
      <w:tr w14:paraId="6C80D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8009AC6">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序号</w:t>
            </w:r>
          </w:p>
        </w:tc>
        <w:tc>
          <w:tcPr>
            <w:tcW w:w="1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A3E8BD9">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评分因素</w:t>
            </w:r>
          </w:p>
        </w:tc>
        <w:tc>
          <w:tcPr>
            <w:tcW w:w="60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C87EFA7">
            <w:pPr>
              <w:widowControl/>
              <w:wordWrap w:val="0"/>
              <w:jc w:val="center"/>
              <w:rPr>
                <w:rFonts w:hint="eastAsia" w:ascii="宋体" w:hAnsi="宋体" w:eastAsia="宋体" w:cs="宋体"/>
                <w:kern w:val="0"/>
                <w:szCs w:val="21"/>
                <w:lang w:bidi="ar"/>
              </w:rPr>
            </w:pPr>
            <w:r>
              <w:rPr>
                <w:rFonts w:hint="eastAsia" w:ascii="宋体" w:hAnsi="宋体" w:eastAsia="宋体" w:cs="宋体"/>
                <w:kern w:val="0"/>
                <w:szCs w:val="21"/>
                <w:lang w:bidi="ar"/>
              </w:rPr>
              <w:t>评分准则</w:t>
            </w:r>
          </w:p>
        </w:tc>
        <w:tc>
          <w:tcPr>
            <w:tcW w:w="8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601C21E">
            <w:pPr>
              <w:widowControl/>
              <w:wordWrap w:val="0"/>
              <w:jc w:val="center"/>
              <w:rPr>
                <w:rFonts w:hint="eastAsia" w:ascii="宋体" w:hAnsi="宋体" w:eastAsia="宋体" w:cs="宋体"/>
                <w:szCs w:val="21"/>
              </w:rPr>
            </w:pPr>
            <w:r>
              <w:rPr>
                <w:rFonts w:hint="eastAsia" w:ascii="宋体" w:hAnsi="宋体" w:eastAsia="宋体" w:cs="宋体"/>
                <w:kern w:val="0"/>
                <w:szCs w:val="21"/>
                <w:lang w:bidi="ar"/>
              </w:rPr>
              <w:t>分值</w:t>
            </w:r>
          </w:p>
        </w:tc>
      </w:tr>
      <w:tr w14:paraId="1A0AE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265220A0">
            <w:pPr>
              <w:widowControl/>
              <w:wordWrap w:val="0"/>
              <w:jc w:val="center"/>
              <w:textAlignment w:val="top"/>
              <w:rPr>
                <w:rFonts w:hint="eastAsia" w:ascii="宋体" w:hAnsi="宋体" w:eastAsia="宋体" w:cs="宋体"/>
                <w:szCs w:val="21"/>
              </w:rPr>
            </w:pPr>
            <w:r>
              <w:rPr>
                <w:rFonts w:hint="eastAsia" w:ascii="宋体" w:hAnsi="宋体" w:eastAsia="宋体" w:cs="宋体"/>
                <w:kern w:val="0"/>
                <w:szCs w:val="21"/>
                <w:lang w:bidi="ar"/>
              </w:rPr>
              <w:t>1</w:t>
            </w:r>
          </w:p>
        </w:tc>
        <w:tc>
          <w:tcPr>
            <w:tcW w:w="1196" w:type="dxa"/>
            <w:tcBorders>
              <w:top w:val="single" w:color="000000" w:sz="8" w:space="0"/>
              <w:left w:val="single" w:color="000000" w:sz="8" w:space="0"/>
              <w:bottom w:val="single" w:color="000000" w:sz="8" w:space="0"/>
              <w:right w:val="single" w:color="000000" w:sz="8" w:space="0"/>
            </w:tcBorders>
            <w:vAlign w:val="center"/>
          </w:tcPr>
          <w:p w14:paraId="37BA64AE">
            <w:pPr>
              <w:widowControl/>
              <w:wordWrap w:val="0"/>
              <w:jc w:val="center"/>
              <w:textAlignment w:val="top"/>
              <w:rPr>
                <w:rFonts w:hint="eastAsia" w:ascii="宋体" w:hAnsi="宋体" w:eastAsia="宋体" w:cs="宋体"/>
                <w:szCs w:val="21"/>
              </w:rPr>
            </w:pPr>
            <w:r>
              <w:rPr>
                <w:rFonts w:hint="eastAsia" w:ascii="宋体" w:hAnsi="宋体" w:eastAsia="宋体" w:cs="宋体"/>
                <w:szCs w:val="21"/>
              </w:rPr>
              <w:t>供货渠道</w:t>
            </w:r>
          </w:p>
        </w:tc>
        <w:tc>
          <w:tcPr>
            <w:tcW w:w="6095" w:type="dxa"/>
            <w:tcBorders>
              <w:top w:val="single" w:color="000000" w:sz="8" w:space="0"/>
              <w:left w:val="single" w:color="000000" w:sz="8" w:space="0"/>
              <w:bottom w:val="single" w:color="000000" w:sz="8" w:space="0"/>
              <w:right w:val="single" w:color="000000" w:sz="8" w:space="0"/>
            </w:tcBorders>
          </w:tcPr>
          <w:p w14:paraId="04B536CA">
            <w:pPr>
              <w:widowControl/>
              <w:textAlignment w:val="top"/>
              <w:rPr>
                <w:rFonts w:hint="eastAsia" w:ascii="宋体" w:hAnsi="宋体" w:eastAsia="宋体" w:cs="宋体"/>
                <w:szCs w:val="21"/>
              </w:rPr>
            </w:pPr>
            <w:r>
              <w:rPr>
                <w:rFonts w:hint="eastAsia" w:ascii="宋体" w:hAnsi="宋体" w:eastAsia="宋体" w:cs="宋体"/>
                <w:szCs w:val="21"/>
              </w:rPr>
              <w:t>对应选人与国外图书出版社合作情况进行评审：</w:t>
            </w:r>
          </w:p>
          <w:p w14:paraId="3703931D">
            <w:pPr>
              <w:widowControl/>
              <w:textAlignment w:val="top"/>
              <w:rPr>
                <w:rFonts w:hint="eastAsia" w:ascii="宋体" w:hAnsi="宋体" w:eastAsia="宋体" w:cs="宋体"/>
                <w:szCs w:val="21"/>
              </w:rPr>
            </w:pPr>
            <w:r>
              <w:rPr>
                <w:rFonts w:hint="eastAsia" w:ascii="宋体" w:hAnsi="宋体" w:eastAsia="宋体" w:cs="宋体"/>
                <w:szCs w:val="21"/>
              </w:rPr>
              <w:t>（1）与国外图书出版社合作情况优良，能保证供货渠道顺畅，图书来源合法，至少提供30家或以上国外图书出版社的合作证明，得3分；</w:t>
            </w:r>
          </w:p>
          <w:p w14:paraId="1F2F8E10">
            <w:pPr>
              <w:widowControl/>
              <w:textAlignment w:val="top"/>
              <w:rPr>
                <w:rFonts w:hint="eastAsia" w:ascii="宋体" w:hAnsi="宋体" w:eastAsia="宋体" w:cs="宋体"/>
                <w:szCs w:val="21"/>
              </w:rPr>
            </w:pPr>
            <w:r>
              <w:rPr>
                <w:rFonts w:hint="eastAsia" w:ascii="宋体" w:hAnsi="宋体" w:eastAsia="宋体" w:cs="宋体"/>
                <w:szCs w:val="21"/>
              </w:rPr>
              <w:t>（2）与国外图书出版社合作情况优良，能保证图书来源合法，至少提供20-29家国外图书出版社的合作证明，得1分；</w:t>
            </w:r>
          </w:p>
          <w:p w14:paraId="7E69BD12">
            <w:pPr>
              <w:widowControl/>
              <w:textAlignment w:val="top"/>
              <w:rPr>
                <w:rFonts w:hint="eastAsia" w:ascii="宋体" w:hAnsi="宋体" w:eastAsia="宋体" w:cs="宋体"/>
                <w:szCs w:val="21"/>
              </w:rPr>
            </w:pPr>
            <w:r>
              <w:rPr>
                <w:rFonts w:hint="eastAsia" w:ascii="宋体" w:hAnsi="宋体" w:eastAsia="宋体" w:cs="宋体"/>
                <w:szCs w:val="21"/>
              </w:rPr>
              <w:t>（3）其他情况不得分。</w:t>
            </w:r>
          </w:p>
        </w:tc>
        <w:tc>
          <w:tcPr>
            <w:tcW w:w="857" w:type="dxa"/>
            <w:tcBorders>
              <w:top w:val="single" w:color="000000" w:sz="8" w:space="0"/>
              <w:left w:val="single" w:color="000000" w:sz="8" w:space="0"/>
              <w:bottom w:val="single" w:color="000000" w:sz="8" w:space="0"/>
              <w:right w:val="single" w:color="000000" w:sz="8" w:space="0"/>
            </w:tcBorders>
            <w:vAlign w:val="center"/>
          </w:tcPr>
          <w:p w14:paraId="398763C2">
            <w:pPr>
              <w:widowControl/>
              <w:wordWrap w:val="0"/>
              <w:jc w:val="center"/>
              <w:textAlignment w:val="top"/>
              <w:rPr>
                <w:rFonts w:hint="eastAsia" w:ascii="宋体" w:hAnsi="宋体" w:eastAsia="宋体" w:cs="宋体"/>
                <w:szCs w:val="21"/>
              </w:rPr>
            </w:pPr>
            <w:r>
              <w:rPr>
                <w:rFonts w:hint="eastAsia" w:ascii="宋体" w:hAnsi="宋体" w:eastAsia="宋体" w:cs="宋体"/>
                <w:szCs w:val="21"/>
              </w:rPr>
              <w:t>3</w:t>
            </w:r>
          </w:p>
        </w:tc>
      </w:tr>
      <w:tr w14:paraId="3E7F4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300CDD19">
            <w:pPr>
              <w:widowControl/>
              <w:wordWrap w:val="0"/>
              <w:jc w:val="center"/>
              <w:textAlignment w:val="top"/>
              <w:rPr>
                <w:rFonts w:hint="eastAsia" w:ascii="宋体" w:hAnsi="宋体" w:eastAsia="宋体" w:cs="宋体"/>
                <w:szCs w:val="21"/>
              </w:rPr>
            </w:pPr>
            <w:r>
              <w:rPr>
                <w:rFonts w:hint="eastAsia" w:ascii="宋体" w:hAnsi="宋体" w:eastAsia="宋体" w:cs="宋体"/>
                <w:szCs w:val="21"/>
              </w:rPr>
              <w:t>2</w:t>
            </w:r>
          </w:p>
        </w:tc>
        <w:tc>
          <w:tcPr>
            <w:tcW w:w="1196" w:type="dxa"/>
            <w:tcBorders>
              <w:top w:val="single" w:color="000000" w:sz="8" w:space="0"/>
              <w:left w:val="single" w:color="000000" w:sz="8" w:space="0"/>
              <w:bottom w:val="single" w:color="000000" w:sz="8" w:space="0"/>
              <w:right w:val="single" w:color="000000" w:sz="8" w:space="0"/>
            </w:tcBorders>
            <w:vAlign w:val="center"/>
          </w:tcPr>
          <w:p w14:paraId="788ACFC9">
            <w:pPr>
              <w:widowControl/>
              <w:wordWrap w:val="0"/>
              <w:jc w:val="center"/>
              <w:textAlignment w:val="top"/>
              <w:rPr>
                <w:rFonts w:hint="eastAsia" w:ascii="宋体" w:hAnsi="宋体" w:eastAsia="宋体" w:cs="宋体"/>
                <w:szCs w:val="21"/>
              </w:rPr>
            </w:pPr>
            <w:r>
              <w:rPr>
                <w:rFonts w:hint="eastAsia" w:ascii="宋体" w:hAnsi="宋体" w:eastAsia="宋体" w:cs="宋体"/>
                <w:szCs w:val="21"/>
              </w:rPr>
              <w:t>线上服务平台</w:t>
            </w:r>
          </w:p>
        </w:tc>
        <w:tc>
          <w:tcPr>
            <w:tcW w:w="6095" w:type="dxa"/>
            <w:tcBorders>
              <w:top w:val="single" w:color="000000" w:sz="8" w:space="0"/>
              <w:left w:val="single" w:color="000000" w:sz="8" w:space="0"/>
              <w:bottom w:val="single" w:color="000000" w:sz="8" w:space="0"/>
              <w:right w:val="single" w:color="000000" w:sz="8" w:space="0"/>
            </w:tcBorders>
          </w:tcPr>
          <w:p w14:paraId="00524BB5">
            <w:pPr>
              <w:widowControl/>
              <w:wordWrap w:val="0"/>
              <w:textAlignment w:val="top"/>
              <w:rPr>
                <w:rFonts w:hint="eastAsia" w:ascii="宋体" w:hAnsi="宋体" w:eastAsia="宋体" w:cs="宋体"/>
                <w:szCs w:val="21"/>
              </w:rPr>
            </w:pPr>
            <w:r>
              <w:rPr>
                <w:rFonts w:hint="eastAsia" w:ascii="宋体" w:hAnsi="宋体" w:eastAsia="宋体" w:cs="宋体"/>
                <w:szCs w:val="21"/>
              </w:rPr>
              <w:t>对应选人独立经营的专业化图书线上服务平台功能进行评审：</w:t>
            </w:r>
          </w:p>
          <w:p w14:paraId="702F11A1">
            <w:pPr>
              <w:widowControl/>
              <w:wordWrap w:val="0"/>
              <w:textAlignment w:val="top"/>
              <w:rPr>
                <w:rFonts w:hint="eastAsia" w:ascii="宋体" w:hAnsi="宋体" w:eastAsia="宋体" w:cs="宋体"/>
                <w:szCs w:val="21"/>
              </w:rPr>
            </w:pPr>
            <w:r>
              <w:rPr>
                <w:rFonts w:hint="eastAsia" w:ascii="宋体" w:hAnsi="宋体" w:eastAsia="宋体" w:cs="宋体"/>
                <w:szCs w:val="21"/>
              </w:rPr>
              <w:t>（1）有专业线上服务平台，功能完善，能够提供线上订购目录，并具有多条件高级检索功能，且能够为采购方采访人员提供更多其他检索比选功能，得7分；</w:t>
            </w:r>
          </w:p>
          <w:p w14:paraId="58C43424">
            <w:pPr>
              <w:widowControl/>
              <w:wordWrap w:val="0"/>
              <w:textAlignment w:val="top"/>
              <w:rPr>
                <w:rFonts w:hint="eastAsia" w:ascii="宋体" w:hAnsi="宋体" w:eastAsia="宋体" w:cs="宋体"/>
                <w:szCs w:val="21"/>
              </w:rPr>
            </w:pPr>
            <w:r>
              <w:rPr>
                <w:rFonts w:hint="eastAsia" w:ascii="宋体" w:hAnsi="宋体" w:eastAsia="宋体" w:cs="宋体"/>
                <w:szCs w:val="21"/>
              </w:rPr>
              <w:t>（2）有专业线上服务平台，功能较完善，能够提供线上订购目录，并具有多条件高级检索功能，得4分；</w:t>
            </w:r>
          </w:p>
          <w:p w14:paraId="7A112B75">
            <w:pPr>
              <w:widowControl/>
              <w:wordWrap w:val="0"/>
              <w:textAlignment w:val="top"/>
              <w:rPr>
                <w:rFonts w:hint="eastAsia" w:ascii="宋体" w:hAnsi="宋体" w:eastAsia="宋体" w:cs="宋体"/>
                <w:szCs w:val="21"/>
              </w:rPr>
            </w:pPr>
            <w:r>
              <w:rPr>
                <w:rFonts w:hint="eastAsia" w:ascii="宋体" w:hAnsi="宋体" w:eastAsia="宋体" w:cs="宋体"/>
                <w:szCs w:val="21"/>
              </w:rPr>
              <w:t>（3）有专业线上服务平台，能够提供线上订购目录，仅有单一基本检索功能，得2分；</w:t>
            </w:r>
          </w:p>
          <w:p w14:paraId="7FBD144C">
            <w:pPr>
              <w:widowControl/>
              <w:wordWrap w:val="0"/>
              <w:textAlignment w:val="top"/>
              <w:rPr>
                <w:rFonts w:hint="eastAsia" w:ascii="宋体" w:hAnsi="宋体" w:eastAsia="宋体" w:cs="宋体"/>
                <w:szCs w:val="21"/>
              </w:rPr>
            </w:pPr>
            <w:r>
              <w:rPr>
                <w:rFonts w:hint="eastAsia" w:ascii="宋体" w:hAnsi="宋体" w:eastAsia="宋体" w:cs="宋体"/>
                <w:szCs w:val="21"/>
              </w:rPr>
              <w:t>（4）有线上服务平台，能提供线上订购目录，但不具有检索功能，得1分；</w:t>
            </w:r>
          </w:p>
          <w:p w14:paraId="13C09DED">
            <w:pPr>
              <w:widowControl/>
              <w:wordWrap w:val="0"/>
              <w:textAlignment w:val="top"/>
              <w:rPr>
                <w:rFonts w:hint="eastAsia" w:ascii="宋体" w:hAnsi="宋体" w:eastAsia="宋体" w:cs="宋体"/>
                <w:szCs w:val="21"/>
              </w:rPr>
            </w:pPr>
            <w:r>
              <w:rPr>
                <w:rFonts w:hint="eastAsia" w:ascii="宋体" w:hAnsi="宋体" w:eastAsia="宋体" w:cs="宋体"/>
                <w:szCs w:val="21"/>
              </w:rPr>
              <w:t>（5）其他情况不得分。</w:t>
            </w:r>
          </w:p>
          <w:p w14:paraId="5F773961">
            <w:pPr>
              <w:widowControl/>
              <w:wordWrap w:val="0"/>
              <w:textAlignment w:val="top"/>
              <w:rPr>
                <w:rFonts w:hint="eastAsia" w:ascii="宋体" w:hAnsi="宋体" w:eastAsia="宋体" w:cs="宋体"/>
                <w:szCs w:val="21"/>
              </w:rPr>
            </w:pPr>
            <w:r>
              <w:rPr>
                <w:rFonts w:hint="eastAsia" w:ascii="宋体" w:hAnsi="宋体" w:eastAsia="宋体" w:cs="宋体"/>
                <w:szCs w:val="21"/>
              </w:rPr>
              <w:t>注：以上功能须提供有效网址及搜索功能网页截屏。</w:t>
            </w:r>
          </w:p>
          <w:p w14:paraId="7BE1257C">
            <w:pPr>
              <w:widowControl/>
              <w:wordWrap w:val="0"/>
              <w:textAlignment w:val="top"/>
              <w:rPr>
                <w:rFonts w:hint="eastAsia" w:ascii="宋体" w:hAnsi="宋体" w:eastAsia="宋体" w:cs="宋体"/>
                <w:szCs w:val="21"/>
              </w:rPr>
            </w:pPr>
            <w:r>
              <w:rPr>
                <w:rFonts w:hint="eastAsia" w:ascii="宋体" w:hAnsi="宋体" w:eastAsia="宋体" w:cs="宋体"/>
                <w:szCs w:val="21"/>
              </w:rPr>
              <w:t>其中，多条件高级检索须能够同时设置图书ISBN、关键词、主题词、题名、丛书名、作者、出版年、出版社、获奖情况等的“与”、“或”、“非”条件关系的并行搜索。</w:t>
            </w:r>
          </w:p>
        </w:tc>
        <w:tc>
          <w:tcPr>
            <w:tcW w:w="857" w:type="dxa"/>
            <w:tcBorders>
              <w:top w:val="single" w:color="000000" w:sz="8" w:space="0"/>
              <w:left w:val="single" w:color="000000" w:sz="8" w:space="0"/>
              <w:bottom w:val="single" w:color="000000" w:sz="8" w:space="0"/>
              <w:right w:val="single" w:color="000000" w:sz="8" w:space="0"/>
            </w:tcBorders>
            <w:vAlign w:val="center"/>
          </w:tcPr>
          <w:p w14:paraId="076811CB">
            <w:pPr>
              <w:widowControl/>
              <w:wordWrap w:val="0"/>
              <w:jc w:val="center"/>
              <w:textAlignment w:val="top"/>
              <w:rPr>
                <w:rFonts w:hint="eastAsia" w:ascii="宋体" w:hAnsi="宋体" w:eastAsia="宋体" w:cs="宋体"/>
                <w:szCs w:val="21"/>
              </w:rPr>
            </w:pPr>
            <w:r>
              <w:rPr>
                <w:rFonts w:hint="eastAsia" w:ascii="宋体" w:hAnsi="宋体" w:eastAsia="宋体" w:cs="宋体"/>
                <w:szCs w:val="21"/>
              </w:rPr>
              <w:t>7</w:t>
            </w:r>
          </w:p>
        </w:tc>
      </w:tr>
      <w:tr w14:paraId="55036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72419923">
            <w:pPr>
              <w:widowControl/>
              <w:wordWrap w:val="0"/>
              <w:jc w:val="center"/>
              <w:textAlignment w:val="top"/>
              <w:rPr>
                <w:rFonts w:hint="eastAsia" w:ascii="宋体" w:hAnsi="宋体" w:eastAsia="宋体" w:cs="宋体"/>
                <w:szCs w:val="21"/>
              </w:rPr>
            </w:pPr>
            <w:r>
              <w:rPr>
                <w:rFonts w:hint="eastAsia" w:ascii="宋体" w:hAnsi="宋体" w:eastAsia="宋体" w:cs="宋体"/>
                <w:szCs w:val="21"/>
              </w:rPr>
              <w:t>3</w:t>
            </w:r>
          </w:p>
        </w:tc>
        <w:tc>
          <w:tcPr>
            <w:tcW w:w="1196" w:type="dxa"/>
            <w:tcBorders>
              <w:top w:val="single" w:color="000000" w:sz="8" w:space="0"/>
              <w:left w:val="single" w:color="000000" w:sz="8" w:space="0"/>
              <w:bottom w:val="single" w:color="000000" w:sz="8" w:space="0"/>
              <w:right w:val="single" w:color="000000" w:sz="8" w:space="0"/>
            </w:tcBorders>
            <w:vAlign w:val="center"/>
          </w:tcPr>
          <w:p w14:paraId="599CC9E0">
            <w:pPr>
              <w:widowControl/>
              <w:wordWrap w:val="0"/>
              <w:jc w:val="center"/>
              <w:textAlignment w:val="top"/>
              <w:rPr>
                <w:rFonts w:hint="eastAsia" w:ascii="宋体" w:hAnsi="宋体" w:eastAsia="宋体" w:cs="宋体"/>
                <w:szCs w:val="21"/>
              </w:rPr>
            </w:pPr>
            <w:r>
              <w:rPr>
                <w:rFonts w:hint="eastAsia" w:ascii="宋体" w:hAnsi="宋体" w:eastAsia="宋体" w:cs="宋体"/>
                <w:szCs w:val="21"/>
              </w:rPr>
              <w:t>同类业绩</w:t>
            </w:r>
          </w:p>
        </w:tc>
        <w:tc>
          <w:tcPr>
            <w:tcW w:w="6095" w:type="dxa"/>
            <w:tcBorders>
              <w:top w:val="single" w:color="000000" w:sz="8" w:space="0"/>
              <w:left w:val="single" w:color="000000" w:sz="8" w:space="0"/>
              <w:bottom w:val="single" w:color="000000" w:sz="8" w:space="0"/>
              <w:right w:val="single" w:color="000000" w:sz="8" w:space="0"/>
            </w:tcBorders>
          </w:tcPr>
          <w:p w14:paraId="6EF98172">
            <w:pPr>
              <w:widowControl/>
              <w:wordWrap w:val="0"/>
              <w:textAlignment w:val="top"/>
              <w:rPr>
                <w:rFonts w:hint="eastAsia" w:ascii="宋体" w:hAnsi="宋体" w:eastAsia="宋体" w:cs="宋体"/>
                <w:szCs w:val="21"/>
              </w:rPr>
            </w:pPr>
            <w:r>
              <w:rPr>
                <w:rFonts w:hint="eastAsia" w:ascii="宋体" w:hAnsi="宋体" w:eastAsia="宋体" w:cs="宋体"/>
                <w:szCs w:val="21"/>
              </w:rPr>
              <w:t>对应选人的同类型（外国教材中心服务）项目情况进行评审：</w:t>
            </w:r>
          </w:p>
          <w:p w14:paraId="74E7E1E8">
            <w:pPr>
              <w:widowControl/>
              <w:wordWrap w:val="0"/>
              <w:textAlignment w:val="top"/>
              <w:rPr>
                <w:rFonts w:hint="eastAsia" w:ascii="宋体" w:hAnsi="宋体" w:eastAsia="宋体" w:cs="宋体"/>
                <w:szCs w:val="21"/>
              </w:rPr>
            </w:pPr>
            <w:r>
              <w:rPr>
                <w:rFonts w:hint="eastAsia" w:ascii="宋体" w:hAnsi="宋体" w:eastAsia="宋体" w:cs="宋体"/>
                <w:szCs w:val="21"/>
              </w:rPr>
              <w:t>提供自2022年1月1日以来的同类型项目业绩，每提供一份业绩得1分，最高分为10分。</w:t>
            </w:r>
          </w:p>
          <w:p w14:paraId="7ED265E8">
            <w:pPr>
              <w:widowControl/>
              <w:wordWrap w:val="0"/>
              <w:textAlignment w:val="top"/>
              <w:rPr>
                <w:rFonts w:hint="eastAsia" w:ascii="宋体" w:hAnsi="宋体" w:eastAsia="宋体" w:cs="宋体"/>
                <w:szCs w:val="21"/>
              </w:rPr>
            </w:pPr>
            <w:r>
              <w:rPr>
                <w:rFonts w:hint="eastAsia" w:ascii="宋体" w:hAnsi="宋体" w:eastAsia="宋体" w:cs="宋体"/>
                <w:szCs w:val="21"/>
              </w:rPr>
              <w:t>注：须提供服务对应用户证明材料（需要用户单位公章）复印件；复印件模糊不清无效。</w:t>
            </w:r>
          </w:p>
        </w:tc>
        <w:tc>
          <w:tcPr>
            <w:tcW w:w="857" w:type="dxa"/>
            <w:tcBorders>
              <w:top w:val="single" w:color="000000" w:sz="8" w:space="0"/>
              <w:left w:val="single" w:color="000000" w:sz="8" w:space="0"/>
              <w:bottom w:val="single" w:color="000000" w:sz="8" w:space="0"/>
              <w:right w:val="single" w:color="000000" w:sz="8" w:space="0"/>
            </w:tcBorders>
            <w:vAlign w:val="center"/>
          </w:tcPr>
          <w:p w14:paraId="689C7362">
            <w:pPr>
              <w:widowControl/>
              <w:wordWrap w:val="0"/>
              <w:jc w:val="center"/>
              <w:textAlignment w:val="top"/>
              <w:rPr>
                <w:rFonts w:hint="eastAsia" w:ascii="宋体" w:hAnsi="宋体" w:eastAsia="宋体" w:cs="宋体"/>
                <w:szCs w:val="21"/>
              </w:rPr>
            </w:pPr>
            <w:r>
              <w:rPr>
                <w:rFonts w:hint="eastAsia" w:ascii="宋体" w:hAnsi="宋体" w:eastAsia="宋体" w:cs="宋体"/>
                <w:szCs w:val="21"/>
              </w:rPr>
              <w:t>10</w:t>
            </w:r>
          </w:p>
        </w:tc>
      </w:tr>
      <w:tr w14:paraId="62521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639" w:type="dxa"/>
            <w:tcBorders>
              <w:top w:val="single" w:color="000000" w:sz="8" w:space="0"/>
              <w:left w:val="single" w:color="000000" w:sz="8" w:space="0"/>
              <w:bottom w:val="single" w:color="000000" w:sz="8" w:space="0"/>
              <w:right w:val="single" w:color="000000" w:sz="8" w:space="0"/>
            </w:tcBorders>
            <w:vAlign w:val="center"/>
          </w:tcPr>
          <w:p w14:paraId="7F3CA229">
            <w:pPr>
              <w:widowControl/>
              <w:wordWrap w:val="0"/>
              <w:jc w:val="center"/>
              <w:textAlignment w:val="top"/>
              <w:rPr>
                <w:rFonts w:hint="eastAsia" w:ascii="宋体" w:hAnsi="宋体" w:eastAsia="宋体" w:cs="宋体"/>
                <w:szCs w:val="21"/>
              </w:rPr>
            </w:pPr>
            <w:r>
              <w:rPr>
                <w:rFonts w:hint="eastAsia" w:ascii="宋体" w:hAnsi="宋体" w:eastAsia="宋体" w:cs="宋体"/>
                <w:szCs w:val="21"/>
              </w:rPr>
              <w:t>4</w:t>
            </w:r>
          </w:p>
        </w:tc>
        <w:tc>
          <w:tcPr>
            <w:tcW w:w="1196" w:type="dxa"/>
            <w:tcBorders>
              <w:top w:val="single" w:color="000000" w:sz="8" w:space="0"/>
              <w:left w:val="single" w:color="000000" w:sz="8" w:space="0"/>
              <w:bottom w:val="single" w:color="000000" w:sz="8" w:space="0"/>
              <w:right w:val="single" w:color="000000" w:sz="8" w:space="0"/>
            </w:tcBorders>
            <w:vAlign w:val="center"/>
          </w:tcPr>
          <w:p w14:paraId="54260B3C">
            <w:pPr>
              <w:widowControl/>
              <w:wordWrap w:val="0"/>
              <w:jc w:val="center"/>
              <w:textAlignment w:val="top"/>
              <w:rPr>
                <w:rFonts w:hint="eastAsia" w:ascii="宋体" w:hAnsi="宋体" w:eastAsia="宋体" w:cs="宋体"/>
                <w:szCs w:val="21"/>
              </w:rPr>
            </w:pPr>
            <w:r>
              <w:rPr>
                <w:rFonts w:hint="eastAsia" w:ascii="宋体" w:hAnsi="宋体" w:eastAsia="宋体" w:cs="宋体"/>
                <w:szCs w:val="21"/>
              </w:rPr>
              <w:t>用户评价</w:t>
            </w:r>
          </w:p>
        </w:tc>
        <w:tc>
          <w:tcPr>
            <w:tcW w:w="6095" w:type="dxa"/>
            <w:tcBorders>
              <w:top w:val="single" w:color="000000" w:sz="8" w:space="0"/>
              <w:left w:val="single" w:color="000000" w:sz="8" w:space="0"/>
              <w:bottom w:val="single" w:color="000000" w:sz="8" w:space="0"/>
              <w:right w:val="single" w:color="000000" w:sz="8" w:space="0"/>
            </w:tcBorders>
          </w:tcPr>
          <w:p w14:paraId="5289DEE1">
            <w:pPr>
              <w:widowControl/>
              <w:wordWrap w:val="0"/>
              <w:textAlignment w:val="top"/>
              <w:rPr>
                <w:rFonts w:hint="eastAsia" w:ascii="宋体" w:hAnsi="宋体" w:eastAsia="宋体" w:cs="宋体"/>
                <w:szCs w:val="21"/>
              </w:rPr>
            </w:pPr>
            <w:r>
              <w:rPr>
                <w:rFonts w:hint="eastAsia" w:ascii="宋体" w:hAnsi="宋体" w:eastAsia="宋体" w:cs="宋体"/>
                <w:szCs w:val="21"/>
              </w:rPr>
              <w:t>根据应选人提供的上述有效同类业绩中的业主单位作出的供货和服务评价表情况进行评审：</w:t>
            </w:r>
          </w:p>
          <w:p w14:paraId="0E382EAA">
            <w:pPr>
              <w:widowControl/>
              <w:wordWrap w:val="0"/>
              <w:textAlignment w:val="top"/>
              <w:rPr>
                <w:rFonts w:hint="eastAsia" w:ascii="宋体" w:hAnsi="宋体" w:eastAsia="宋体" w:cs="宋体"/>
                <w:szCs w:val="21"/>
              </w:rPr>
            </w:pPr>
            <w:r>
              <w:rPr>
                <w:rFonts w:hint="eastAsia" w:ascii="宋体" w:hAnsi="宋体" w:eastAsia="宋体" w:cs="宋体"/>
                <w:szCs w:val="21"/>
              </w:rPr>
              <w:t>每提供一份用户评价，得1分，满分为10分。</w:t>
            </w:r>
          </w:p>
          <w:p w14:paraId="1C62E9D4">
            <w:pPr>
              <w:widowControl/>
              <w:wordWrap w:val="0"/>
              <w:textAlignment w:val="top"/>
              <w:rPr>
                <w:rFonts w:hint="eastAsia" w:ascii="宋体" w:hAnsi="宋体" w:eastAsia="宋体" w:cs="宋体"/>
                <w:szCs w:val="21"/>
              </w:rPr>
            </w:pPr>
            <w:r>
              <w:rPr>
                <w:rFonts w:hint="eastAsia" w:ascii="宋体" w:hAnsi="宋体" w:eastAsia="宋体" w:cs="宋体"/>
                <w:szCs w:val="21"/>
              </w:rPr>
              <w:t>（1）须提供用户评价材料复印件，评价材料必须达到90分或带有“满意”或“好评”或“优秀”等相关正面评价字眼；</w:t>
            </w:r>
          </w:p>
          <w:p w14:paraId="19B13B17">
            <w:pPr>
              <w:widowControl/>
              <w:wordWrap w:val="0"/>
              <w:textAlignment w:val="top"/>
              <w:rPr>
                <w:rFonts w:hint="eastAsia" w:ascii="宋体" w:hAnsi="宋体" w:eastAsia="宋体" w:cs="宋体"/>
                <w:szCs w:val="21"/>
              </w:rPr>
            </w:pPr>
            <w:r>
              <w:rPr>
                <w:rFonts w:hint="eastAsia" w:ascii="宋体" w:hAnsi="宋体" w:eastAsia="宋体" w:cs="宋体"/>
                <w:szCs w:val="21"/>
              </w:rPr>
              <w:t>（2）评价材料必须与主要业绩相对应，否则不得分。</w:t>
            </w:r>
          </w:p>
        </w:tc>
        <w:tc>
          <w:tcPr>
            <w:tcW w:w="857" w:type="dxa"/>
            <w:tcBorders>
              <w:top w:val="single" w:color="000000" w:sz="8" w:space="0"/>
              <w:left w:val="single" w:color="000000" w:sz="8" w:space="0"/>
              <w:bottom w:val="single" w:color="000000" w:sz="8" w:space="0"/>
              <w:right w:val="single" w:color="000000" w:sz="8" w:space="0"/>
            </w:tcBorders>
            <w:vAlign w:val="center"/>
          </w:tcPr>
          <w:p w14:paraId="3F34A95D">
            <w:pPr>
              <w:widowControl/>
              <w:wordWrap w:val="0"/>
              <w:jc w:val="center"/>
              <w:textAlignment w:val="top"/>
              <w:rPr>
                <w:rFonts w:hint="eastAsia" w:ascii="宋体" w:hAnsi="宋体" w:eastAsia="宋体" w:cs="宋体"/>
                <w:szCs w:val="21"/>
              </w:rPr>
            </w:pPr>
            <w:r>
              <w:rPr>
                <w:rFonts w:hint="eastAsia" w:ascii="宋体" w:hAnsi="宋体" w:eastAsia="宋体" w:cs="宋体"/>
                <w:szCs w:val="21"/>
              </w:rPr>
              <w:t>10</w:t>
            </w:r>
          </w:p>
        </w:tc>
      </w:tr>
      <w:tr w14:paraId="776A0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7930" w:type="dxa"/>
            <w:gridSpan w:val="3"/>
            <w:tcBorders>
              <w:top w:val="single" w:color="000000" w:sz="8" w:space="0"/>
              <w:left w:val="single" w:color="000000" w:sz="8" w:space="0"/>
              <w:bottom w:val="single" w:color="000000" w:sz="8" w:space="0"/>
              <w:right w:val="single" w:color="000000" w:sz="8" w:space="0"/>
            </w:tcBorders>
            <w:vAlign w:val="center"/>
          </w:tcPr>
          <w:p w14:paraId="0346FF28">
            <w:pPr>
              <w:widowControl/>
              <w:wordWrap w:val="0"/>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合计</w:t>
            </w:r>
          </w:p>
        </w:tc>
        <w:tc>
          <w:tcPr>
            <w:tcW w:w="857" w:type="dxa"/>
            <w:tcBorders>
              <w:top w:val="single" w:color="000000" w:sz="8" w:space="0"/>
              <w:left w:val="single" w:color="000000" w:sz="8" w:space="0"/>
              <w:bottom w:val="single" w:color="000000" w:sz="8" w:space="0"/>
              <w:right w:val="single" w:color="000000" w:sz="8" w:space="0"/>
            </w:tcBorders>
            <w:vAlign w:val="center"/>
          </w:tcPr>
          <w:p w14:paraId="55B76351">
            <w:pPr>
              <w:widowControl/>
              <w:wordWrap w:val="0"/>
              <w:jc w:val="center"/>
              <w:textAlignment w:val="top"/>
              <w:rPr>
                <w:rFonts w:hint="eastAsia" w:ascii="宋体" w:hAnsi="宋体" w:eastAsia="宋体" w:cs="宋体"/>
                <w:szCs w:val="21"/>
              </w:rPr>
            </w:pPr>
            <w:r>
              <w:rPr>
                <w:rFonts w:hint="eastAsia" w:ascii="宋体" w:hAnsi="宋体" w:eastAsia="宋体" w:cs="宋体"/>
                <w:szCs w:val="21"/>
              </w:rPr>
              <w:t>30分</w:t>
            </w:r>
          </w:p>
        </w:tc>
      </w:tr>
    </w:tbl>
    <w:p w14:paraId="398FDD91">
      <w:pPr>
        <w:rPr>
          <w:rFonts w:eastAsia="宋体"/>
        </w:rPr>
      </w:pPr>
    </w:p>
    <w:p w14:paraId="39B1ABFA">
      <w:pPr>
        <w:rPr>
          <w:rFonts w:eastAsia="宋体"/>
        </w:rPr>
      </w:pPr>
    </w:p>
    <w:p w14:paraId="786687D4">
      <w:pPr>
        <w:rPr>
          <w:rFonts w:eastAsia="宋体"/>
        </w:rPr>
      </w:pPr>
    </w:p>
    <w:p w14:paraId="13180237">
      <w:pPr>
        <w:rPr>
          <w:rFonts w:eastAsia="宋体"/>
        </w:rPr>
      </w:pPr>
    </w:p>
    <w:p w14:paraId="01649410">
      <w:pPr>
        <w:rPr>
          <w:rFonts w:eastAsia="宋体"/>
        </w:rPr>
      </w:pPr>
    </w:p>
    <w:p w14:paraId="5F33C3BD">
      <w:pPr>
        <w:spacing w:before="156" w:beforeLines="50" w:after="156" w:afterLines="50" w:line="400" w:lineRule="exact"/>
        <w:jc w:val="center"/>
        <w:rPr>
          <w:rFonts w:hint="eastAsia" w:ascii="宋体" w:hAnsi="宋体" w:eastAsia="宋体" w:cs="宋体"/>
        </w:rPr>
      </w:pPr>
      <w:r>
        <w:rPr>
          <w:rFonts w:hint="eastAsia" w:ascii="宋体" w:hAnsi="宋体" w:eastAsia="宋体"/>
          <w:b/>
          <w:bCs/>
          <w:sz w:val="28"/>
        </w:rPr>
        <w:t>价格评审表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62"/>
        <w:gridCol w:w="993"/>
        <w:gridCol w:w="6520"/>
        <w:gridCol w:w="709"/>
      </w:tblGrid>
      <w:tr w14:paraId="615B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jc w:val="center"/>
        </w:trPr>
        <w:tc>
          <w:tcPr>
            <w:tcW w:w="562" w:type="dxa"/>
            <w:vAlign w:val="center"/>
          </w:tcPr>
          <w:p w14:paraId="5FE90F1D">
            <w:pPr>
              <w:autoSpaceDE w:val="0"/>
              <w:autoSpaceDN w:val="0"/>
              <w:adjustRightInd w:val="0"/>
              <w:spacing w:line="276" w:lineRule="auto"/>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993" w:type="dxa"/>
            <w:vAlign w:val="center"/>
          </w:tcPr>
          <w:p w14:paraId="0AF5A321">
            <w:pPr>
              <w:autoSpaceDE w:val="0"/>
              <w:autoSpaceDN w:val="0"/>
              <w:adjustRightInd w:val="0"/>
              <w:spacing w:line="276" w:lineRule="auto"/>
              <w:jc w:val="center"/>
              <w:rPr>
                <w:rFonts w:hint="eastAsia" w:ascii="宋体" w:hAnsi="宋体" w:eastAsia="宋体" w:cs="宋体"/>
                <w:b/>
                <w:kern w:val="0"/>
                <w:szCs w:val="21"/>
              </w:rPr>
            </w:pPr>
            <w:r>
              <w:rPr>
                <w:rFonts w:hint="eastAsia" w:ascii="宋体" w:hAnsi="宋体" w:eastAsia="宋体" w:cs="宋体"/>
                <w:b/>
                <w:kern w:val="0"/>
                <w:szCs w:val="21"/>
              </w:rPr>
              <w:t>评审项目</w:t>
            </w:r>
          </w:p>
        </w:tc>
        <w:tc>
          <w:tcPr>
            <w:tcW w:w="6520" w:type="dxa"/>
            <w:vAlign w:val="center"/>
          </w:tcPr>
          <w:p w14:paraId="0C7FE96E">
            <w:pPr>
              <w:autoSpaceDE w:val="0"/>
              <w:autoSpaceDN w:val="0"/>
              <w:adjustRightInd w:val="0"/>
              <w:spacing w:line="276" w:lineRule="auto"/>
              <w:jc w:val="center"/>
              <w:rPr>
                <w:rFonts w:hint="eastAsia" w:ascii="宋体" w:hAnsi="宋体" w:eastAsia="宋体" w:cs="宋体"/>
                <w:b/>
                <w:kern w:val="0"/>
                <w:szCs w:val="21"/>
              </w:rPr>
            </w:pPr>
            <w:r>
              <w:rPr>
                <w:rFonts w:hint="eastAsia" w:ascii="宋体" w:hAnsi="宋体" w:eastAsia="宋体" w:cs="宋体"/>
                <w:b/>
                <w:kern w:val="0"/>
                <w:szCs w:val="21"/>
              </w:rPr>
              <w:t>评议内容</w:t>
            </w:r>
          </w:p>
        </w:tc>
        <w:tc>
          <w:tcPr>
            <w:tcW w:w="709" w:type="dxa"/>
            <w:vAlign w:val="center"/>
          </w:tcPr>
          <w:p w14:paraId="222ADC88">
            <w:pPr>
              <w:tabs>
                <w:tab w:val="left" w:pos="720"/>
                <w:tab w:val="left" w:pos="1080"/>
              </w:tabs>
              <w:adjustRightInd w:val="0"/>
              <w:jc w:val="center"/>
              <w:rPr>
                <w:rFonts w:hint="eastAsia" w:ascii="宋体" w:hAnsi="宋体" w:eastAsia="宋体" w:cs="宋体"/>
                <w:b/>
                <w:kern w:val="0"/>
                <w:szCs w:val="21"/>
              </w:rPr>
            </w:pPr>
            <w:r>
              <w:rPr>
                <w:rFonts w:ascii="宋体" w:hAnsi="宋体" w:eastAsia="宋体"/>
                <w:b/>
                <w:szCs w:val="21"/>
              </w:rPr>
              <w:t>分值</w:t>
            </w:r>
          </w:p>
        </w:tc>
      </w:tr>
      <w:tr w14:paraId="405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35" w:hRule="atLeast"/>
          <w:jc w:val="center"/>
        </w:trPr>
        <w:tc>
          <w:tcPr>
            <w:tcW w:w="562" w:type="dxa"/>
            <w:vAlign w:val="center"/>
          </w:tcPr>
          <w:p w14:paraId="7D90B500">
            <w:pPr>
              <w:autoSpaceDE w:val="0"/>
              <w:autoSpaceDN w:val="0"/>
              <w:adjustRightInd w:val="0"/>
              <w:spacing w:line="276" w:lineRule="auto"/>
              <w:jc w:val="center"/>
              <w:rPr>
                <w:rFonts w:hint="eastAsia" w:ascii="宋体" w:hAnsi="宋体" w:eastAsia="宋体" w:cs="宋体"/>
                <w:kern w:val="0"/>
                <w:szCs w:val="21"/>
              </w:rPr>
            </w:pPr>
            <w:r>
              <w:rPr>
                <w:rFonts w:ascii="宋体" w:hAnsi="宋体" w:eastAsia="宋体" w:cs="宋体"/>
                <w:kern w:val="0"/>
                <w:szCs w:val="21"/>
              </w:rPr>
              <w:t>1</w:t>
            </w:r>
          </w:p>
        </w:tc>
        <w:tc>
          <w:tcPr>
            <w:tcW w:w="993" w:type="dxa"/>
            <w:vAlign w:val="center"/>
          </w:tcPr>
          <w:p w14:paraId="337CB7B0">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价格</w:t>
            </w:r>
          </w:p>
        </w:tc>
        <w:tc>
          <w:tcPr>
            <w:tcW w:w="6520" w:type="dxa"/>
            <w:vAlign w:val="center"/>
          </w:tcPr>
          <w:p w14:paraId="654B043A">
            <w:pPr>
              <w:spacing w:line="300" w:lineRule="auto"/>
              <w:rPr>
                <w:rFonts w:hint="eastAsia" w:ascii="宋体" w:hAnsi="宋体" w:eastAsia="宋体"/>
              </w:rPr>
            </w:pPr>
            <w:r>
              <w:rPr>
                <w:rFonts w:hint="eastAsia" w:ascii="宋体" w:hAnsi="宋体" w:eastAsia="宋体"/>
              </w:rPr>
              <w:t>本项目报价采用报折扣率的方式进行，折扣率作为评审时价格得分的评审依据以及最终费用结算的依据。0%≤折扣率≤100%。</w:t>
            </w:r>
          </w:p>
          <w:p w14:paraId="529FA9FC">
            <w:pPr>
              <w:spacing w:line="300" w:lineRule="auto"/>
              <w:rPr>
                <w:rFonts w:hint="eastAsia" w:ascii="宋体" w:hAnsi="宋体" w:eastAsia="宋体"/>
              </w:rPr>
            </w:pPr>
            <w:r>
              <w:rPr>
                <w:rFonts w:hint="eastAsia" w:ascii="宋体" w:hAnsi="宋体" w:eastAsia="宋体"/>
              </w:rPr>
              <w:t>评审组对入围的应选人所报折扣率进行修正核实。综合评分法中的价格分统一采用低价优先法计算，</w:t>
            </w:r>
            <w:r>
              <w:rPr>
                <w:rFonts w:ascii="宋体" w:hAnsi="宋体" w:eastAsia="宋体"/>
              </w:rPr>
              <w:t>即满足</w:t>
            </w:r>
            <w:r>
              <w:rPr>
                <w:rFonts w:hint="eastAsia" w:ascii="宋体" w:hAnsi="宋体" w:eastAsia="宋体" w:cs="宋体"/>
                <w:szCs w:val="21"/>
              </w:rPr>
              <w:t>需求书</w:t>
            </w:r>
            <w:r>
              <w:rPr>
                <w:rFonts w:ascii="宋体" w:hAnsi="宋体" w:eastAsia="宋体"/>
              </w:rPr>
              <w:t>要求且应选价格最低的应选</w:t>
            </w:r>
            <w:r>
              <w:rPr>
                <w:rFonts w:hint="eastAsia" w:ascii="宋体" w:hAnsi="宋体" w:eastAsia="宋体"/>
              </w:rPr>
              <w:t>折扣率</w:t>
            </w:r>
            <w:r>
              <w:rPr>
                <w:rFonts w:ascii="宋体" w:hAnsi="宋体" w:eastAsia="宋体"/>
              </w:rPr>
              <w:t>为基准价，其价格分为满分。其他应选人的价格分统一按照下列公式计算：</w:t>
            </w:r>
          </w:p>
          <w:p w14:paraId="598DD7DD">
            <w:pPr>
              <w:spacing w:line="300" w:lineRule="auto"/>
              <w:rPr>
                <w:rFonts w:hint="eastAsia" w:ascii="宋体" w:hAnsi="宋体" w:eastAsia="宋体"/>
              </w:rPr>
            </w:pPr>
            <w:r>
              <w:rPr>
                <w:rFonts w:ascii="宋体" w:hAnsi="宋体" w:eastAsia="宋体"/>
              </w:rPr>
              <w:t>应选报价得分=(基准价／</w:t>
            </w:r>
            <w:r>
              <w:rPr>
                <w:rFonts w:hint="eastAsia" w:ascii="宋体" w:hAnsi="宋体" w:eastAsia="宋体"/>
              </w:rPr>
              <w:t>评审价</w:t>
            </w:r>
            <w:r>
              <w:rPr>
                <w:rFonts w:ascii="宋体" w:hAnsi="宋体" w:eastAsia="宋体"/>
              </w:rPr>
              <w:t>)×</w:t>
            </w:r>
            <w:r>
              <w:rPr>
                <w:rFonts w:hint="eastAsia" w:ascii="宋体" w:hAnsi="宋体" w:eastAsia="宋体"/>
              </w:rPr>
              <w:t>30</w:t>
            </w:r>
          </w:p>
        </w:tc>
        <w:tc>
          <w:tcPr>
            <w:tcW w:w="709" w:type="dxa"/>
            <w:vAlign w:val="center"/>
          </w:tcPr>
          <w:p w14:paraId="319F1E4A">
            <w:pPr>
              <w:jc w:val="center"/>
              <w:rPr>
                <w:rFonts w:hint="eastAsia" w:ascii="宋体" w:hAnsi="宋体" w:eastAsia="宋体"/>
                <w:szCs w:val="20"/>
              </w:rPr>
            </w:pPr>
            <w:r>
              <w:rPr>
                <w:rFonts w:hint="eastAsia" w:ascii="宋体" w:hAnsi="宋体" w:eastAsia="宋体"/>
                <w:szCs w:val="20"/>
              </w:rPr>
              <w:t>30</w:t>
            </w:r>
          </w:p>
        </w:tc>
      </w:tr>
    </w:tbl>
    <w:p w14:paraId="50B4D2B5"/>
    <w:p w14:paraId="1AC897BF">
      <w:pPr>
        <w:rPr>
          <w:rFonts w:hint="eastAsia" w:ascii="微软雅黑" w:hAnsi="微软雅黑" w:eastAsia="微软雅黑"/>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3D9B0"/>
    <w:multiLevelType w:val="singleLevel"/>
    <w:tmpl w:val="7893D9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BB"/>
    <w:rsid w:val="00006492"/>
    <w:rsid w:val="00045B65"/>
    <w:rsid w:val="000C22BD"/>
    <w:rsid w:val="001017C5"/>
    <w:rsid w:val="001268CC"/>
    <w:rsid w:val="00157CF4"/>
    <w:rsid w:val="0016294D"/>
    <w:rsid w:val="001864D8"/>
    <w:rsid w:val="001D732D"/>
    <w:rsid w:val="00235B33"/>
    <w:rsid w:val="002452B7"/>
    <w:rsid w:val="002A3AD7"/>
    <w:rsid w:val="002B00EB"/>
    <w:rsid w:val="002C415F"/>
    <w:rsid w:val="00301AB3"/>
    <w:rsid w:val="003413C0"/>
    <w:rsid w:val="00345CD8"/>
    <w:rsid w:val="003C3E63"/>
    <w:rsid w:val="0040678D"/>
    <w:rsid w:val="00433460"/>
    <w:rsid w:val="0047770E"/>
    <w:rsid w:val="0048740C"/>
    <w:rsid w:val="004B37D0"/>
    <w:rsid w:val="004B57A7"/>
    <w:rsid w:val="004B6978"/>
    <w:rsid w:val="005040D1"/>
    <w:rsid w:val="00535A9C"/>
    <w:rsid w:val="00561DF9"/>
    <w:rsid w:val="00581BA1"/>
    <w:rsid w:val="00641539"/>
    <w:rsid w:val="006737CA"/>
    <w:rsid w:val="007279D9"/>
    <w:rsid w:val="0078047B"/>
    <w:rsid w:val="007C0BCD"/>
    <w:rsid w:val="0083241B"/>
    <w:rsid w:val="0087759B"/>
    <w:rsid w:val="008B06BB"/>
    <w:rsid w:val="008B2FDD"/>
    <w:rsid w:val="008C12CB"/>
    <w:rsid w:val="00912F59"/>
    <w:rsid w:val="00945DB7"/>
    <w:rsid w:val="00984FB7"/>
    <w:rsid w:val="00A30217"/>
    <w:rsid w:val="00A9076D"/>
    <w:rsid w:val="00B011A3"/>
    <w:rsid w:val="00B227C3"/>
    <w:rsid w:val="00B22D00"/>
    <w:rsid w:val="00B45E20"/>
    <w:rsid w:val="00B50D27"/>
    <w:rsid w:val="00BA3D1B"/>
    <w:rsid w:val="00BB6054"/>
    <w:rsid w:val="00BB7E56"/>
    <w:rsid w:val="00C03C21"/>
    <w:rsid w:val="00C97FFD"/>
    <w:rsid w:val="00D25F5F"/>
    <w:rsid w:val="00D87109"/>
    <w:rsid w:val="00DA03A9"/>
    <w:rsid w:val="00DA4D56"/>
    <w:rsid w:val="00DA53D2"/>
    <w:rsid w:val="00DD25F3"/>
    <w:rsid w:val="00E23D41"/>
    <w:rsid w:val="00E57B59"/>
    <w:rsid w:val="00EA0FE5"/>
    <w:rsid w:val="00F560AC"/>
    <w:rsid w:val="00FA26B6"/>
    <w:rsid w:val="00FC0AA6"/>
    <w:rsid w:val="00FF2279"/>
    <w:rsid w:val="6ED5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1"/>
      <w:szCs w:val="24"/>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9"/>
    <w:unhideWhenUsed/>
    <w:uiPriority w:val="99"/>
    <w:pPr>
      <w:tabs>
        <w:tab w:val="center" w:pos="4153"/>
        <w:tab w:val="right" w:pos="8306"/>
      </w:tabs>
      <w:snapToGrid w:val="0"/>
      <w:jc w:val="left"/>
    </w:pPr>
    <w:rPr>
      <w:sz w:val="18"/>
      <w:szCs w:val="18"/>
    </w:rPr>
  </w:style>
  <w:style w:type="paragraph" w:styleId="12">
    <w:name w:val="header"/>
    <w:basedOn w:val="1"/>
    <w:link w:val="38"/>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2"/>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uiPriority w:val="9"/>
    <w:rPr>
      <w:rFonts w:asciiTheme="minorHAnsi" w:hAnsiTheme="minorHAnsi" w:eastAsiaTheme="minorEastAsia" w:cstheme="majorBidi"/>
      <w:color w:val="2F5597" w:themeColor="accent1" w:themeShade="BF"/>
      <w:sz w:val="28"/>
      <w:szCs w:val="28"/>
    </w:rPr>
  </w:style>
  <w:style w:type="character" w:customStyle="1" w:styleId="22">
    <w:name w:val="标题 5 字符"/>
    <w:basedOn w:val="17"/>
    <w:link w:val="6"/>
    <w:semiHidden/>
    <w:uiPriority w:val="9"/>
    <w:rPr>
      <w:rFonts w:asciiTheme="minorHAnsi" w:hAnsiTheme="minorHAnsi" w:eastAsiaTheme="minorEastAsia" w:cstheme="majorBidi"/>
      <w:color w:val="2F5597" w:themeColor="accent1" w:themeShade="BF"/>
      <w:szCs w:val="24"/>
    </w:rPr>
  </w:style>
  <w:style w:type="character" w:customStyle="1" w:styleId="23">
    <w:name w:val="标题 6 字符"/>
    <w:basedOn w:val="17"/>
    <w:link w:val="7"/>
    <w:semiHidden/>
    <w:uiPriority w:val="9"/>
    <w:rPr>
      <w:rFonts w:asciiTheme="minorHAnsi" w:hAnsiTheme="minorHAnsi" w:eastAsiaTheme="minorEastAsia" w:cstheme="majorBidi"/>
      <w:b/>
      <w:bCs/>
      <w:color w:val="2F5597" w:themeColor="accent1" w:themeShade="BF"/>
    </w:rPr>
  </w:style>
  <w:style w:type="character" w:customStyle="1" w:styleId="24">
    <w:name w:val="标题 7 字符"/>
    <w:basedOn w:val="17"/>
    <w:link w:val="8"/>
    <w:semiHidden/>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paragraph" w:customStyle="1" w:styleId="36">
    <w:name w:val="_Style 3"/>
    <w:basedOn w:val="1"/>
    <w:autoRedefine/>
    <w:qFormat/>
    <w:uiPriority w:val="0"/>
    <w:pPr>
      <w:jc w:val="center"/>
    </w:pPr>
    <w:rPr>
      <w:rFonts w:eastAsia="宋体"/>
      <w:sz w:val="20"/>
      <w:szCs w:val="22"/>
    </w:rPr>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14:ligatures w14:val="none"/>
    </w:rPr>
  </w:style>
  <w:style w:type="character" w:customStyle="1" w:styleId="38">
    <w:name w:val="页眉 字符"/>
    <w:basedOn w:val="17"/>
    <w:link w:val="12"/>
    <w:uiPriority w:val="99"/>
    <w:rPr>
      <w:rFonts w:ascii="Calibri" w:hAnsi="Calibri" w:eastAsia="仿宋" w:cs="Times New Roman"/>
      <w:sz w:val="18"/>
      <w:szCs w:val="18"/>
      <w14:ligatures w14:val="none"/>
    </w:rPr>
  </w:style>
  <w:style w:type="character" w:customStyle="1" w:styleId="39">
    <w:name w:val="页脚 字符"/>
    <w:basedOn w:val="17"/>
    <w:link w:val="11"/>
    <w:uiPriority w:val="99"/>
    <w:rPr>
      <w:rFonts w:ascii="Calibri" w:hAnsi="Calibri" w:eastAsia="仿宋" w:cs="Times New Roman"/>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3025</Words>
  <Characters>3132</Characters>
  <Lines>34</Lines>
  <Paragraphs>9</Paragraphs>
  <TotalTime>99</TotalTime>
  <ScaleCrop>false</ScaleCrop>
  <LinksUpToDate>false</LinksUpToDate>
  <CharactersWithSpaces>3168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2025-06-17T02:53:00Z</dcterms:created>
  <dc:creator>Jinyue Wu</dc:creator>
  <cp:lastModifiedBy>石杰伟</cp:lastModifiedBy>
  <dcterms:modified xsi:type="dcterms:W3CDTF">2025-07-09T00:48:44Z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50EDBA01799E4E6E8F7C9A246C72225A_13</vt:lpwstr>
  </property>
</Properties>
</file>